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3"/>
        <w:tblpPr w:leftFromText="180" w:rightFromText="180" w:vertAnchor="page" w:horzAnchor="margin" w:tblpX="-360" w:tblpY="1694"/>
        <w:tblW w:w="9720" w:type="dxa"/>
        <w:tblInd w:w="0" w:type="dxa"/>
        <w:tblLayout w:type="fixed"/>
        <w:tblCellMar>
          <w:top w:w="0" w:type="dxa"/>
          <w:left w:w="101" w:type="dxa"/>
          <w:bottom w:w="0" w:type="dxa"/>
          <w:right w:w="101" w:type="dxa"/>
        </w:tblCellMar>
      </w:tblPr>
      <w:tblGrid>
        <w:gridCol w:w="9720"/>
      </w:tblGrid>
      <w:tr>
        <w:tblPrEx>
          <w:tblLayout w:type="fixed"/>
          <w:tblCellMar>
            <w:top w:w="0" w:type="dxa"/>
            <w:left w:w="101" w:type="dxa"/>
            <w:bottom w:w="0" w:type="dxa"/>
            <w:right w:w="101" w:type="dxa"/>
          </w:tblCellMar>
        </w:tblPrEx>
        <w:tc>
          <w:tcPr>
            <w:tcW w:w="972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Office of Graduate Management Studies</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Self-Directed Managerial Applications Component</w:t>
            </w:r>
          </w:p>
          <w:p>
            <w:pPr>
              <w:pStyle w:val="3"/>
              <w:spacing w:line="480" w:lineRule="auto"/>
              <w:jc w:val="center"/>
              <w:rPr>
                <w:rFonts w:ascii="Times New Roman" w:hAnsi="Times New Roman" w:cs="Times New Roman"/>
                <w:b w:val="0"/>
                <w:bCs w:val="0"/>
                <w:color w:val="auto"/>
                <w:sz w:val="24"/>
                <w:szCs w:val="24"/>
              </w:rPr>
            </w:pPr>
            <w:bookmarkStart w:id="0" w:name="_Toc302725441"/>
            <w:r>
              <w:rPr>
                <w:rFonts w:ascii="Times New Roman" w:hAnsi="Times New Roman" w:cs="Times New Roman"/>
                <w:b w:val="0"/>
                <w:bCs w:val="0"/>
                <w:color w:val="auto"/>
                <w:sz w:val="24"/>
                <w:szCs w:val="24"/>
              </w:rPr>
              <w:t>Proposal/Learning Contract</w:t>
            </w:r>
            <w:bookmarkEnd w:id="0"/>
          </w:p>
          <w:p>
            <w:pPr>
              <w:spacing w:line="480" w:lineRule="auto"/>
              <w:jc w:val="center"/>
              <w:rPr>
                <w:rFonts w:ascii="Times New Roman" w:hAnsi="Times New Roman" w:cs="Times New Roman"/>
                <w:sz w:val="24"/>
                <w:szCs w:val="24"/>
              </w:rPr>
            </w:pPr>
            <w:r>
              <w:rPr>
                <w:rFonts w:ascii="Times New Roman" w:hAnsi="Times New Roman" w:cs="Times New Roman"/>
                <w:sz w:val="24"/>
                <w:szCs w:val="24"/>
              </w:rPr>
              <w:t>Attach Proposal/Learning Contract to all SMACs</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Attach the Abilities Recap form from MGT 500 to this form</w:t>
            </w:r>
          </w:p>
        </w:tc>
      </w:tr>
      <w:tr>
        <w:tblPrEx>
          <w:tblLayout w:type="fixed"/>
          <w:tblCellMar>
            <w:top w:w="0" w:type="dxa"/>
            <w:left w:w="101" w:type="dxa"/>
            <w:bottom w:w="0" w:type="dxa"/>
            <w:right w:w="101" w:type="dxa"/>
          </w:tblCellMar>
        </w:tblPrEx>
        <w:tc>
          <w:tcPr>
            <w:tcW w:w="9720" w:type="dxa"/>
          </w:tcPr>
          <w:p>
            <w:pPr>
              <w:spacing w:line="480" w:lineRule="auto"/>
              <w:rPr>
                <w:rFonts w:ascii="Times New Roman" w:hAnsi="Times New Roman" w:cs="Times New Roman"/>
                <w:b/>
                <w:sz w:val="24"/>
                <w:szCs w:val="24"/>
              </w:rPr>
            </w:pPr>
          </w:p>
        </w:tc>
      </w:tr>
      <w:tr>
        <w:tblPrEx>
          <w:tblLayout w:type="fixed"/>
          <w:tblCellMar>
            <w:top w:w="0" w:type="dxa"/>
            <w:left w:w="101" w:type="dxa"/>
            <w:bottom w:w="0" w:type="dxa"/>
            <w:right w:w="101" w:type="dxa"/>
          </w:tblCellMar>
        </w:tblPrEx>
        <w:tc>
          <w:tcPr>
            <w:tcW w:w="9720" w:type="dxa"/>
          </w:tcPr>
          <w:p>
            <w:pPr>
              <w:spacing w:line="480" w:lineRule="auto"/>
              <w:rPr>
                <w:rFonts w:ascii="Times New Roman" w:hAnsi="Times New Roman" w:cs="Times New Roman"/>
                <w:bCs/>
                <w:sz w:val="24"/>
                <w:szCs w:val="24"/>
              </w:rPr>
            </w:pPr>
            <w:bookmarkStart w:id="1" w:name="_GoBack"/>
            <w:bookmarkEnd w:id="1"/>
            <w:r>
              <w:rPr>
                <w:rFonts w:ascii="Times New Roman" w:hAnsi="Times New Roman" w:cs="Times New Roman"/>
                <w:b/>
                <w:sz w:val="24"/>
                <w:szCs w:val="24"/>
              </w:rPr>
              <w:t xml:space="preserve">Course: </w:t>
            </w:r>
            <w:r>
              <w:rPr>
                <w:rFonts w:ascii="Times New Roman" w:hAnsi="Times New Roman" w:cs="Times New Roman"/>
                <w:bCs/>
                <w:sz w:val="24"/>
                <w:szCs w:val="24"/>
              </w:rPr>
              <w:t xml:space="preserve">Health Care Services and Systems </w:t>
            </w:r>
          </w:p>
          <w:p>
            <w:pPr>
              <w:spacing w:line="480" w:lineRule="auto"/>
              <w:rPr>
                <w:rFonts w:ascii="Times New Roman" w:hAnsi="Times New Roman" w:cs="Times New Roman"/>
                <w:sz w:val="24"/>
                <w:szCs w:val="24"/>
              </w:rPr>
            </w:pPr>
            <w:r>
              <w:rPr>
                <w:rFonts w:ascii="Times New Roman" w:hAnsi="Times New Roman" w:cs="Times New Roman"/>
                <w:b/>
                <w:sz w:val="24"/>
                <w:szCs w:val="24"/>
              </w:rPr>
              <w:t xml:space="preserve">Proposed title of project: </w:t>
            </w:r>
            <w:r>
              <w:rPr>
                <w:rFonts w:ascii="Times New Roman" w:hAnsi="Times New Roman" w:cs="Times New Roman"/>
                <w:sz w:val="24"/>
                <w:szCs w:val="24"/>
              </w:rPr>
              <w:t xml:space="preserve">At NY Presbyterian, the effect of how Telehealth is Transforming How Care is Done </w:t>
            </w: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right w:val="single" w:color="auto" w:sz="6" w:space="0"/>
            </w:tcBorders>
            <w:shd w:val="solid" w:color="FFFFFF" w:fill="FFFFFF"/>
          </w:tcPr>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Issue/Problem/Task to be Addressed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project aims to solve the problem of high number of diabetes patients not going to hospitals for fear of contracting COVID-19. Diabetes patients are more prone to COVID-19 deaths because the virus damages their breathing system. Consequently, many patients fail to go to hospital for fear of contracting the deadly virus. Statistics shows that 34.2 million Americans had diabetes in 2018 (American Diabetes association, 2020). Out of this population, 7.3 million were not diagnosed. The prevalence of the disease is high in seniors aged 65 years and above (American Diabetes association, 2020). Because of the fear of going to hospitals, the probability is that the country will record more deaths. Therefore, the project seeks to set-up telehealth to solve the problem of not going to the hospital.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the healthcare sector is undergoing challenges due to COID-19, hospitals, such as New York Presbyterian should apply technology to ensure populations access quality services. Besides, quality of care is dependent on accessibility, affordability, timely diagnosis. Telemedicine enhances these three attributes by overcoming geographical barriers, allowing access to specialist care without traveling (video conferencing and telephone consultations), and reducing the cost by cutting on travel and accommodation costs for both the provider and the patient. In the wake of the current global health crisis posed by the Covid-19 pandemic, wide-scale adoption of telemedicine could have come in handy. Telehealth makes healthcare services available to the entire population, including diabetes patients.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Telemedicine may be a remedy to the global health specialist shortage, with one specialist offering services to multiple patients from varied regions. For example, one doctor can hold a video conference with many diabetes patients and offer appropriate services to improve their health conditions. </w:t>
            </w:r>
          </w:p>
          <w:p>
            <w:pPr>
              <w:spacing w:line="480" w:lineRule="auto"/>
              <w:rPr>
                <w:rFonts w:ascii="Times New Roman" w:hAnsi="Times New Roman" w:cs="Times New Roman"/>
                <w:sz w:val="24"/>
                <w:szCs w:val="24"/>
              </w:rPr>
            </w:pPr>
            <w:r>
              <w:rPr>
                <w:rFonts w:ascii="Times New Roman" w:hAnsi="Times New Roman" w:cs="Times New Roman"/>
                <w:sz w:val="24"/>
                <w:szCs w:val="24"/>
              </w:rPr>
              <w:t>However, telehealth may not be without its fair share of challenges as stated earlier, especially being in its inception stage in most areas. The effect of telehealth touches on the healthcare providers, the patients, and the management of the health facilities. The concerns of data security, safety, privacy and confidentiality; loss of one-on-one interaction; availability of infrastructure to support telehealth, and patients' expertise in telehealth interaction are some of the notable challenges that may affect the effectiveness of telehealth services. However, the hospital should install appropriate security systems to ensure adequate protection of patients’ data.</w:t>
            </w:r>
          </w:p>
          <w:p>
            <w:pPr>
              <w:spacing w:line="480" w:lineRule="auto"/>
              <w:rPr>
                <w:rFonts w:ascii="Times New Roman" w:hAnsi="Times New Roman" w:cs="Times New Roman"/>
                <w:sz w:val="24"/>
                <w:szCs w:val="24"/>
              </w:rPr>
            </w:pPr>
            <w:r>
              <w:rPr>
                <w:rFonts w:ascii="Times New Roman" w:hAnsi="Times New Roman" w:cs="Times New Roman"/>
                <w:sz w:val="24"/>
                <w:szCs w:val="24"/>
              </w:rPr>
              <w:t>Therefore, the primary purpose of this project is to implement telehealth to solve the business problem of people not going to NY Presbyterian.</w:t>
            </w: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right w:val="single" w:color="auto" w:sz="6" w:space="0"/>
            </w:tcBorders>
            <w:shd w:val="solid" w:color="FFFFFF" w:fill="FFFFFF"/>
          </w:tcPr>
          <w:p>
            <w:pPr>
              <w:spacing w:line="480" w:lineRule="auto"/>
              <w:rPr>
                <w:rFonts w:ascii="Times New Roman" w:hAnsi="Times New Roman" w:cs="Times New Roman"/>
                <w:b/>
                <w:sz w:val="24"/>
                <w:szCs w:val="24"/>
              </w:rPr>
            </w:pPr>
            <w:r>
              <w:rPr>
                <w:rFonts w:ascii="Times New Roman" w:hAnsi="Times New Roman" w:cs="Times New Roman"/>
                <w:b/>
                <w:sz w:val="24"/>
                <w:szCs w:val="24"/>
              </w:rPr>
              <w:t>Topic(s) from Functional Knowledge Area Related to the Issue/Problem/Task</w:t>
            </w:r>
          </w:p>
          <w:p>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areas or topics of focus in this SMAC will include installation of technology in the hospital, educating patients how to use the technology and privacy system to guarantee safety of patients’ data. Also, the project will address potential challenges, particularly its cost, integration with the overall business model and expected target patients. The scope will also entail computer-assisted diagnosis, electronic prescription filling, electronic health records, patient data protection, and remote monitoring. Moreover, the advantages and disadvantages of telehealth at NY Presbyterian from the providers, patients, and management perspective.</w:t>
            </w: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bottom w:val="single" w:color="auto" w:sz="4" w:space="0"/>
              <w:right w:val="single" w:color="auto" w:sz="6" w:space="0"/>
            </w:tcBorders>
            <w:shd w:val="solid" w:color="FFFFFF" w:fill="FFFFFF"/>
          </w:tcPr>
          <w:p>
            <w:pPr>
              <w:spacing w:line="480" w:lineRule="auto"/>
              <w:rPr>
                <w:rFonts w:ascii="Times New Roman" w:hAnsi="Times New Roman" w:cs="Times New Roman"/>
                <w:b/>
                <w:sz w:val="24"/>
                <w:szCs w:val="24"/>
              </w:rPr>
            </w:pPr>
            <w:r>
              <w:rPr>
                <w:rFonts w:ascii="Times New Roman" w:hAnsi="Times New Roman" w:cs="Times New Roman"/>
                <w:b/>
                <w:sz w:val="24"/>
                <w:szCs w:val="24"/>
              </w:rPr>
              <w:t>Anticipated Managerial Abilities to be Developed</w:t>
            </w:r>
          </w:p>
          <w:p>
            <w:pPr>
              <w:spacing w:line="480" w:lineRule="auto"/>
              <w:rPr>
                <w:rFonts w:ascii="Times New Roman" w:hAnsi="Times New Roman" w:cs="Times New Roman"/>
                <w:sz w:val="24"/>
                <w:szCs w:val="24"/>
              </w:rPr>
            </w:pPr>
            <w:r>
              <w:rPr>
                <w:rFonts w:ascii="Times New Roman" w:hAnsi="Times New Roman" w:cs="Times New Roman"/>
                <w:b/>
                <w:sz w:val="24"/>
                <w:szCs w:val="24"/>
              </w:rPr>
              <w:t>Adaptability</w:t>
            </w:r>
            <w:r>
              <w:rPr>
                <w:rFonts w:ascii="Times New Roman" w:hAnsi="Times New Roman" w:cs="Times New Roman"/>
                <w:sz w:val="24"/>
                <w:szCs w:val="24"/>
              </w:rPr>
              <w:t xml:space="preserve"> – I intend to develop managerial skills particularly the ability to respond to different situations. The project will help to develop personal responsibility of seeing an opportunity in every challenge. Opportunity in this context is the adoption of telehealth that is cost-effective to patients and the hospital. Therefore, the project will improve my flexibility skills, depending on prevailing circumstances to ensure business sustainability. </w:t>
            </w:r>
          </w:p>
          <w:p>
            <w:pPr>
              <w:spacing w:line="480" w:lineRule="auto"/>
              <w:rPr>
                <w:rFonts w:ascii="Times New Roman" w:hAnsi="Times New Roman" w:cs="Times New Roman"/>
                <w:sz w:val="24"/>
                <w:szCs w:val="24"/>
              </w:rPr>
            </w:pPr>
            <w:r>
              <w:rPr>
                <w:rFonts w:ascii="Times New Roman" w:hAnsi="Times New Roman" w:cs="Times New Roman"/>
                <w:b/>
                <w:sz w:val="24"/>
                <w:szCs w:val="24"/>
              </w:rPr>
              <w:t>Systems thinking</w:t>
            </w:r>
            <w:r>
              <w:rPr>
                <w:rFonts w:ascii="Times New Roman" w:hAnsi="Times New Roman" w:cs="Times New Roman"/>
                <w:sz w:val="24"/>
                <w:szCs w:val="24"/>
              </w:rPr>
              <w:t xml:space="preserve"> – I will develop systems thinking by developing skills of consulting stakeholders, such as patients and the availability of network that would influence telehealth. The cost of components, such as network providers and type of healthcare services provided would also influence adoption of telehealth. Therefore, the effective development of systems thinking requires the application of holistic approach. </w:t>
            </w:r>
          </w:p>
        </w:tc>
      </w:tr>
      <w:tr>
        <w:tblPrEx>
          <w:tblLayout w:type="fixed"/>
          <w:tblCellMar>
            <w:top w:w="0" w:type="dxa"/>
            <w:left w:w="101" w:type="dxa"/>
            <w:bottom w:w="0" w:type="dxa"/>
            <w:right w:w="101" w:type="dxa"/>
          </w:tblCellMar>
        </w:tblPrEx>
        <w:trPr>
          <w:trHeight w:val="3239" w:hRule="atLeast"/>
        </w:trPr>
        <w:tc>
          <w:tcPr>
            <w:tcW w:w="9720" w:type="dxa"/>
            <w:tcBorders>
              <w:top w:val="single" w:color="auto" w:sz="4" w:space="0"/>
              <w:left w:val="single" w:color="auto" w:sz="4" w:space="0"/>
              <w:bottom w:val="single" w:color="auto" w:sz="4" w:space="0"/>
              <w:right w:val="single" w:color="auto" w:sz="4" w:space="0"/>
            </w:tcBorders>
            <w:shd w:val="solid" w:color="FFFFFF" w:fill="FFFFFF"/>
          </w:tcPr>
          <w:p>
            <w:pPr>
              <w:spacing w:line="480" w:lineRule="auto"/>
              <w:rPr>
                <w:rFonts w:ascii="Times New Roman" w:hAnsi="Times New Roman" w:cs="Times New Roman"/>
                <w:b/>
                <w:sz w:val="24"/>
                <w:szCs w:val="24"/>
              </w:rPr>
            </w:pPr>
            <w:r>
              <w:rPr>
                <w:rFonts w:ascii="Times New Roman" w:hAnsi="Times New Roman" w:cs="Times New Roman"/>
                <w:b/>
                <w:sz w:val="24"/>
                <w:szCs w:val="24"/>
              </w:rPr>
              <w:t>Proposed Project Design/Plan</w:t>
            </w:r>
          </w:p>
          <w:p>
            <w:pPr>
              <w:pStyle w:val="15"/>
              <w:spacing w:line="480" w:lineRule="auto"/>
              <w:rPr>
                <w:rFonts w:ascii="Times New Roman" w:hAnsi="Times New Roman" w:cs="Times New Roman"/>
                <w:sz w:val="24"/>
                <w:szCs w:val="24"/>
              </w:rPr>
            </w:pPr>
            <w:r>
              <w:rPr>
                <w:rFonts w:ascii="Times New Roman" w:hAnsi="Times New Roman" w:cs="Times New Roman"/>
                <w:sz w:val="24"/>
                <w:szCs w:val="24"/>
              </w:rPr>
              <w:t xml:space="preserve">The project design will highlight the elements required in the completion of the project. The project design or plan will outline the steps which will be followed informing the project, highlighting the vision, problem, required resources, project goals, contingency plan, evaluation plan, budget, and the project proposal. NY Presbyterian has not effectively adopted technology in its operations.  In this era of COVID-19, telehealth would improve accessibility of healthcare services to populations, such as diabetes patients. </w:t>
            </w:r>
          </w:p>
        </w:tc>
      </w:tr>
      <w:tr>
        <w:tblPrEx>
          <w:tblLayout w:type="fixed"/>
          <w:tblCellMar>
            <w:top w:w="0" w:type="dxa"/>
            <w:left w:w="101" w:type="dxa"/>
            <w:bottom w:w="0" w:type="dxa"/>
            <w:right w:w="101" w:type="dxa"/>
          </w:tblCellMar>
        </w:tblPrEx>
        <w:trPr>
          <w:trHeight w:val="611" w:hRule="atLeast"/>
        </w:trPr>
        <w:tc>
          <w:tcPr>
            <w:tcW w:w="9720" w:type="dxa"/>
            <w:tcBorders>
              <w:top w:val="single" w:color="auto" w:sz="4" w:space="0"/>
              <w:left w:val="single" w:color="auto" w:sz="6" w:space="0"/>
              <w:right w:val="single" w:color="auto" w:sz="6" w:space="0"/>
            </w:tcBorders>
          </w:tcPr>
          <w:p>
            <w:pPr>
              <w:spacing w:line="480" w:lineRule="auto"/>
              <w:rPr>
                <w:rFonts w:ascii="Times New Roman" w:hAnsi="Times New Roman" w:cs="Times New Roman"/>
                <w:sz w:val="24"/>
                <w:szCs w:val="24"/>
              </w:rPr>
            </w:pP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right w:val="single" w:color="auto" w:sz="6" w:space="0"/>
            </w:tcBorders>
            <w:shd w:val="solid" w:color="FFFFFF" w:fill="FFFFFF"/>
          </w:tcPr>
          <w:p>
            <w:pPr>
              <w:spacing w:line="480" w:lineRule="auto"/>
              <w:rPr>
                <w:rFonts w:ascii="Times New Roman" w:hAnsi="Times New Roman" w:cs="Times New Roman"/>
                <w:b/>
                <w:sz w:val="24"/>
                <w:szCs w:val="24"/>
              </w:rPr>
            </w:pPr>
            <w:r>
              <w:rPr>
                <w:rFonts w:ascii="Times New Roman" w:hAnsi="Times New Roman" w:cs="Times New Roman"/>
                <w:b/>
                <w:sz w:val="24"/>
                <w:szCs w:val="24"/>
              </w:rPr>
              <w:t>Resources</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Some of the useful literature sources already identified include;</w:t>
            </w:r>
          </w:p>
          <w:p>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Alvandi, M. (2017). Telemedicine and its role in revolutionizing healthcare delivery. </w:t>
            </w:r>
            <w:r>
              <w:rPr>
                <w:rFonts w:ascii="Times New Roman" w:hAnsi="Times New Roman" w:cs="Times New Roman"/>
                <w:i/>
                <w:sz w:val="24"/>
                <w:szCs w:val="24"/>
                <w:shd w:val="clear" w:color="auto" w:fill="FFFFFF"/>
              </w:rPr>
              <w:t xml:space="preserve">The </w:t>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American Journal of Accountable Care, 5</w:t>
            </w:r>
            <w:r>
              <w:rPr>
                <w:rFonts w:ascii="Times New Roman" w:hAnsi="Times New Roman" w:cs="Times New Roman"/>
                <w:sz w:val="24"/>
                <w:szCs w:val="24"/>
                <w:shd w:val="clear" w:color="auto" w:fill="FFFFFF"/>
              </w:rPr>
              <w:t xml:space="preserve">(1); e1 – e5.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https://www.ajmc.com/journals/ajac/2017/2017-vol5-n1/telemedicine-and-its-role-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in-revolutionizing-healthcare-delivery</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American Diabetes association. (2020). </w:t>
            </w:r>
            <w:r>
              <w:rPr>
                <w:rFonts w:ascii="Times New Roman" w:hAnsi="Times New Roman" w:cs="Times New Roman"/>
                <w:i/>
                <w:sz w:val="24"/>
                <w:szCs w:val="24"/>
              </w:rPr>
              <w:t>Statistics about diabetes.</w:t>
            </w:r>
            <w:r>
              <w:rPr>
                <w:rFonts w:ascii="Times New Roman" w:hAnsi="Times New Roman" w:cs="Times New Roman"/>
                <w:sz w:val="24"/>
                <w:szCs w:val="24"/>
              </w:rPr>
              <w:t xml:space="preserve">  </w:t>
            </w:r>
            <w:r>
              <w:rPr>
                <w:rFonts w:ascii="Times New Roman" w:hAnsi="Times New Roman" w:cs="Times New Roman"/>
                <w:sz w:val="24"/>
                <w:szCs w:val="24"/>
              </w:rPr>
              <w:tab/>
            </w:r>
            <w:r>
              <w:fldChar w:fldCharType="begin"/>
            </w:r>
            <w:r>
              <w:instrText xml:space="preserve"> HYPERLINK "https://www.diabetes.org/resources/statistics/statistics-about-diabetes" </w:instrText>
            </w:r>
            <w:r>
              <w:fldChar w:fldCharType="separate"/>
            </w:r>
            <w:r>
              <w:rPr>
                <w:rStyle w:val="21"/>
                <w:rFonts w:ascii="Times New Roman" w:hAnsi="Times New Roman" w:cs="Times New Roman"/>
                <w:color w:val="auto"/>
                <w:sz w:val="24"/>
                <w:szCs w:val="24"/>
                <w:u w:val="none"/>
              </w:rPr>
              <w:t>https://www.diabetes.org/resources/statistics/statistics-about-diabetes</w:t>
            </w:r>
            <w:r>
              <w:rPr>
                <w:rStyle w:val="21"/>
                <w:rFonts w:ascii="Times New Roman" w:hAnsi="Times New Roman" w:cs="Times New Roman"/>
                <w:color w:val="auto"/>
                <w:sz w:val="24"/>
                <w:szCs w:val="24"/>
                <w:u w:val="none"/>
              </w:rPr>
              <w:fldChar w:fldCharType="end"/>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Bashshur, R. L., Shannon, G. W., Smith, B. R., Alverson, D. C., Antoniotti, N., Barsan, W. G., </w:t>
            </w:r>
            <w:r>
              <w:rPr>
                <w:rFonts w:ascii="Times New Roman" w:hAnsi="Times New Roman" w:cs="Times New Roman"/>
                <w:sz w:val="24"/>
                <w:szCs w:val="24"/>
              </w:rPr>
              <w:tab/>
            </w:r>
            <w:r>
              <w:rPr>
                <w:rFonts w:ascii="Times New Roman" w:hAnsi="Times New Roman" w:cs="Times New Roman"/>
                <w:sz w:val="24"/>
                <w:szCs w:val="24"/>
              </w:rPr>
              <w:t xml:space="preserve">Bashshur, N., Brown, E. M., Coye, M. J., Doarn, C. R., Ferguson, S., Grigsby, J., Krupinski, E. A., Kvedar, J. C., Linkous, J., Merrell, R. C., Nesbitt, T., Poropatich, R., Rheuban, </w:t>
            </w:r>
            <w:r>
              <w:rPr>
                <w:rFonts w:ascii="Times New Roman" w:hAnsi="Times New Roman" w:cs="Times New Roman"/>
                <w:sz w:val="24"/>
                <w:szCs w:val="24"/>
              </w:rPr>
              <w:tab/>
            </w:r>
            <w:r>
              <w:rPr>
                <w:rFonts w:ascii="Times New Roman" w:hAnsi="Times New Roman" w:cs="Times New Roman"/>
                <w:sz w:val="24"/>
                <w:szCs w:val="24"/>
              </w:rPr>
              <w:t xml:space="preserve">K. S.,  Sanders, J. H., … Yellowlees, P. (2014). The empirical foundations of </w:t>
            </w:r>
            <w:r>
              <w:rPr>
                <w:rFonts w:ascii="Times New Roman" w:hAnsi="Times New Roman" w:cs="Times New Roman"/>
                <w:sz w:val="24"/>
                <w:szCs w:val="24"/>
              </w:rPr>
              <w:tab/>
            </w:r>
            <w:r>
              <w:rPr>
                <w:rFonts w:ascii="Times New Roman" w:hAnsi="Times New Roman" w:cs="Times New Roman"/>
                <w:sz w:val="24"/>
                <w:szCs w:val="24"/>
              </w:rPr>
              <w:t>telemedicine</w:t>
            </w:r>
            <w:r>
              <w:rPr>
                <w:rFonts w:ascii="Times New Roman" w:hAnsi="Times New Roman" w:cs="Times New Roman"/>
                <w:sz w:val="24"/>
                <w:szCs w:val="24"/>
              </w:rPr>
              <w:tab/>
            </w:r>
            <w:r>
              <w:rPr>
                <w:rFonts w:ascii="Times New Roman" w:hAnsi="Times New Roman" w:cs="Times New Roman"/>
                <w:sz w:val="24"/>
                <w:szCs w:val="24"/>
              </w:rPr>
              <w:t xml:space="preserve">interventions for chronic disease management. </w:t>
            </w:r>
            <w:r>
              <w:rPr>
                <w:rFonts w:ascii="Times New Roman" w:hAnsi="Times New Roman" w:cs="Times New Roman"/>
                <w:i/>
                <w:sz w:val="24"/>
                <w:szCs w:val="24"/>
              </w:rPr>
              <w:t xml:space="preserve">Telemedicine Journal and </w:t>
            </w:r>
            <w:r>
              <w:rPr>
                <w:rFonts w:ascii="Times New Roman" w:hAnsi="Times New Roman" w:cs="Times New Roman"/>
                <w:i/>
                <w:sz w:val="24"/>
                <w:szCs w:val="24"/>
              </w:rPr>
              <w:tab/>
            </w:r>
            <w:r>
              <w:rPr>
                <w:rFonts w:ascii="Times New Roman" w:hAnsi="Times New Roman" w:cs="Times New Roman"/>
                <w:i/>
                <w:sz w:val="24"/>
                <w:szCs w:val="24"/>
              </w:rPr>
              <w:t xml:space="preserve">e-Health: The </w:t>
            </w:r>
            <w:r>
              <w:rPr>
                <w:rFonts w:ascii="Times New Roman" w:hAnsi="Times New Roman" w:cs="Times New Roman"/>
                <w:i/>
                <w:sz w:val="24"/>
                <w:szCs w:val="24"/>
              </w:rPr>
              <w:tab/>
            </w:r>
            <w:r>
              <w:rPr>
                <w:rFonts w:ascii="Times New Roman" w:hAnsi="Times New Roman" w:cs="Times New Roman"/>
                <w:i/>
                <w:sz w:val="24"/>
                <w:szCs w:val="24"/>
              </w:rPr>
              <w:t>Official Journal of the American Telemedicine Association, 20</w:t>
            </w:r>
            <w:r>
              <w:rPr>
                <w:rFonts w:ascii="Times New Roman" w:hAnsi="Times New Roman" w:cs="Times New Roman"/>
                <w:sz w:val="24"/>
                <w:szCs w:val="24"/>
              </w:rPr>
              <w:t>(9), 769–</w:t>
            </w:r>
            <w:r>
              <w:rPr>
                <w:rFonts w:ascii="Times New Roman" w:hAnsi="Times New Roman" w:cs="Times New Roman"/>
                <w:sz w:val="24"/>
                <w:szCs w:val="24"/>
              </w:rPr>
              <w:tab/>
            </w:r>
            <w:r>
              <w:rPr>
                <w:rFonts w:ascii="Times New Roman" w:hAnsi="Times New Roman" w:cs="Times New Roman"/>
                <w:sz w:val="24"/>
                <w:szCs w:val="24"/>
              </w:rPr>
              <w:t>800. https://doi.org/10.1089/tmj.2014.9981</w:t>
            </w:r>
          </w:p>
          <w:p>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Board on Health Care Services &amp; The Institute of Medicine (2012). </w:t>
            </w:r>
            <w:r>
              <w:rPr>
                <w:rFonts w:ascii="Times New Roman" w:hAnsi="Times New Roman" w:cs="Times New Roman"/>
                <w:i/>
                <w:sz w:val="24"/>
                <w:szCs w:val="24"/>
                <w:shd w:val="clear" w:color="auto" w:fill="FFFFFF"/>
              </w:rPr>
              <w:t xml:space="preserve">The Role of Telehealth in an </w:t>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Evolving Health Care Environment: Workshop Summary</w:t>
            </w:r>
            <w:r>
              <w:rPr>
                <w:rFonts w:ascii="Times New Roman" w:hAnsi="Times New Roman" w:cs="Times New Roman"/>
                <w:sz w:val="24"/>
                <w:szCs w:val="24"/>
                <w:shd w:val="clear" w:color="auto" w:fill="FFFFFF"/>
              </w:rPr>
              <w:t xml:space="preserve">. Washington (DC): National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Academies Press (US). </w:t>
            </w:r>
            <w:r>
              <w:rPr>
                <w:rStyle w:val="34"/>
                <w:rFonts w:ascii="Times New Roman" w:hAnsi="Times New Roman" w:cs="Times New Roman"/>
                <w:sz w:val="24"/>
                <w:szCs w:val="24"/>
                <w:shd w:val="clear" w:color="auto" w:fill="FFFFFF"/>
              </w:rPr>
              <w:t>https://www.ncbi.nlm.nih.gov/books/NBK207146/</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Burke, B. L., Jr, Hall, R. W., &amp; SECTION ON TELEHEALTH CARE (2015). Telemedicine: </w:t>
            </w:r>
            <w:r>
              <w:rPr>
                <w:rFonts w:ascii="Times New Roman" w:hAnsi="Times New Roman" w:cs="Times New Roman"/>
                <w:sz w:val="24"/>
                <w:szCs w:val="24"/>
              </w:rPr>
              <w:tab/>
            </w:r>
            <w:r>
              <w:rPr>
                <w:rFonts w:ascii="Times New Roman" w:hAnsi="Times New Roman" w:cs="Times New Roman"/>
                <w:sz w:val="24"/>
                <w:szCs w:val="24"/>
              </w:rPr>
              <w:t>pediatric applications. </w:t>
            </w:r>
            <w:r>
              <w:rPr>
                <w:rFonts w:ascii="Times New Roman" w:hAnsi="Times New Roman" w:cs="Times New Roman"/>
                <w:i/>
                <w:iCs/>
                <w:sz w:val="24"/>
                <w:szCs w:val="24"/>
              </w:rPr>
              <w:t>Paediatrics</w:t>
            </w:r>
            <w:r>
              <w:rPr>
                <w:rFonts w:ascii="Times New Roman" w:hAnsi="Times New Roman" w:cs="Times New Roman"/>
                <w:sz w:val="24"/>
                <w:szCs w:val="24"/>
              </w:rPr>
              <w:t>, </w:t>
            </w:r>
            <w:r>
              <w:rPr>
                <w:rFonts w:ascii="Times New Roman" w:hAnsi="Times New Roman" w:cs="Times New Roman"/>
                <w:i/>
                <w:iCs/>
                <w:sz w:val="24"/>
                <w:szCs w:val="24"/>
              </w:rPr>
              <w:t>136</w:t>
            </w:r>
            <w:r>
              <w:rPr>
                <w:rFonts w:ascii="Times New Roman" w:hAnsi="Times New Roman" w:cs="Times New Roman"/>
                <w:sz w:val="24"/>
                <w:szCs w:val="24"/>
              </w:rPr>
              <w:t xml:space="preserve">(1), e293–e308. </w:t>
            </w:r>
            <w:r>
              <w:rPr>
                <w:rFonts w:ascii="Times New Roman" w:hAnsi="Times New Roman" w:cs="Times New Roman"/>
                <w:sz w:val="24"/>
                <w:szCs w:val="24"/>
              </w:rPr>
              <w:tab/>
            </w:r>
            <w:r>
              <w:rPr>
                <w:rFonts w:ascii="Times New Roman" w:hAnsi="Times New Roman" w:cs="Times New Roman"/>
                <w:sz w:val="24"/>
                <w:szCs w:val="24"/>
              </w:rPr>
              <w:t>https://doi.org/10.1542/peds.2015-1517</w:t>
            </w:r>
          </w:p>
          <w:p>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Hersh, W. R., Wallace, J. A., Patterson, P. K., Shapiro, S. E., Kraemer, D. F., Eilers, G. M.,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Chan, B. K., Greenlick, M. R., &amp; Helfand, M. (2001). Telemedicine for the Medicare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population: pediatric,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obstetric, and clinician-indirect home interventions. </w:t>
            </w:r>
            <w:r>
              <w:rPr>
                <w:rFonts w:ascii="Times New Roman" w:hAnsi="Times New Roman" w:cs="Times New Roman"/>
                <w:i/>
                <w:iCs/>
                <w:sz w:val="24"/>
                <w:szCs w:val="24"/>
                <w:shd w:val="clear" w:color="auto" w:fill="FFFFFF"/>
              </w:rPr>
              <w:t xml:space="preserve">Evidence </w:t>
            </w:r>
            <w:r>
              <w:rPr>
                <w:rFonts w:ascii="Times New Roman" w:hAnsi="Times New Roman" w:cs="Times New Roman"/>
                <w:i/>
                <w:iCs/>
                <w:sz w:val="24"/>
                <w:szCs w:val="24"/>
                <w:shd w:val="clear" w:color="auto" w:fill="FFFFFF"/>
              </w:rPr>
              <w:tab/>
            </w:r>
            <w:r>
              <w:rPr>
                <w:rFonts w:ascii="Times New Roman" w:hAnsi="Times New Roman" w:cs="Times New Roman"/>
                <w:i/>
                <w:iCs/>
                <w:sz w:val="24"/>
                <w:szCs w:val="24"/>
                <w:shd w:val="clear" w:color="auto" w:fill="FFFFFF"/>
              </w:rPr>
              <w:t>Report/Technology Assessment (Summary)</w:t>
            </w:r>
            <w:r>
              <w:rPr>
                <w:rFonts w:ascii="Times New Roman" w:hAnsi="Times New Roman" w:cs="Times New Roman"/>
                <w:sz w:val="24"/>
                <w:szCs w:val="24"/>
                <w:shd w:val="clear" w:color="auto" w:fill="FFFFFF"/>
              </w:rPr>
              <w:t>, (24 Suppl), 1–32.</w:t>
            </w:r>
          </w:p>
          <w:p>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Ray, K. N., Ashcraft, L. E., Mehrotra, A., Miller, E., &amp; Kahn, J. M. (2017). Family Perspectives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on Telemedicine for Pediatric Subspecialty Care. </w:t>
            </w:r>
            <w:r>
              <w:rPr>
                <w:rFonts w:ascii="Times New Roman" w:hAnsi="Times New Roman" w:cs="Times New Roman"/>
                <w:i/>
                <w:iCs/>
                <w:sz w:val="24"/>
                <w:szCs w:val="24"/>
                <w:shd w:val="clear" w:color="auto" w:fill="FFFFFF"/>
              </w:rPr>
              <w:t xml:space="preserve">Telemedicine Journal and e-health: The </w:t>
            </w:r>
            <w:r>
              <w:rPr>
                <w:rFonts w:ascii="Times New Roman" w:hAnsi="Times New Roman" w:cs="Times New Roman"/>
                <w:i/>
                <w:iCs/>
                <w:sz w:val="24"/>
                <w:szCs w:val="24"/>
                <w:shd w:val="clear" w:color="auto" w:fill="FFFFFF"/>
              </w:rPr>
              <w:tab/>
            </w:r>
            <w:r>
              <w:rPr>
                <w:rFonts w:ascii="Times New Roman" w:hAnsi="Times New Roman" w:cs="Times New Roman"/>
                <w:i/>
                <w:iCs/>
                <w:sz w:val="24"/>
                <w:szCs w:val="24"/>
                <w:shd w:val="clear" w:color="auto" w:fill="FFFFFF"/>
              </w:rPr>
              <w:t>Official Journal of the American Telemedicine Association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23</w:t>
            </w:r>
            <w:r>
              <w:rPr>
                <w:rFonts w:ascii="Times New Roman" w:hAnsi="Times New Roman" w:cs="Times New Roman"/>
                <w:sz w:val="24"/>
                <w:szCs w:val="24"/>
                <w:shd w:val="clear" w:color="auto" w:fill="FFFFFF"/>
              </w:rPr>
              <w:t xml:space="preserve">(10), 852–862. </w:t>
            </w:r>
            <w:r>
              <w:rPr>
                <w:rFonts w:ascii="Times New Roman" w:hAnsi="Times New Roman" w:cs="Times New Roman"/>
                <w:sz w:val="24"/>
                <w:szCs w:val="24"/>
                <w:shd w:val="clear" w:color="auto" w:fill="FFFFFF"/>
              </w:rPr>
              <w:tab/>
            </w:r>
            <w:r>
              <w:fldChar w:fldCharType="begin"/>
            </w:r>
            <w:r>
              <w:instrText xml:space="preserve"> HYPERLINK "https://doi.org/10.1089/tmj.2016.0236" </w:instrText>
            </w:r>
            <w:r>
              <w:fldChar w:fldCharType="separate"/>
            </w:r>
            <w:r>
              <w:rPr>
                <w:rStyle w:val="21"/>
                <w:rFonts w:ascii="Times New Roman" w:hAnsi="Times New Roman" w:cs="Times New Roman"/>
                <w:color w:val="auto"/>
                <w:sz w:val="24"/>
                <w:szCs w:val="24"/>
                <w:u w:val="none"/>
                <w:shd w:val="clear" w:color="auto" w:fill="FFFFFF"/>
              </w:rPr>
              <w:t>https://doi.org/10.1089/tmj.2016.0236</w:t>
            </w:r>
            <w:r>
              <w:rPr>
                <w:rStyle w:val="21"/>
                <w:rFonts w:ascii="Times New Roman" w:hAnsi="Times New Roman" w:cs="Times New Roman"/>
                <w:color w:val="auto"/>
                <w:sz w:val="24"/>
                <w:szCs w:val="24"/>
                <w:u w:val="none"/>
                <w:shd w:val="clear" w:color="auto" w:fill="FFFFFF"/>
              </w:rPr>
              <w:fldChar w:fldCharType="end"/>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Russo, L., Campagna, I., Ferretti, B., Agricola, E., Pandolfi, E., Carloni, E., D'Ambrosio, A., </w:t>
            </w:r>
            <w:r>
              <w:rPr>
                <w:rFonts w:ascii="Times New Roman" w:hAnsi="Times New Roman" w:cs="Times New Roman"/>
                <w:sz w:val="24"/>
                <w:szCs w:val="24"/>
              </w:rPr>
              <w:tab/>
            </w:r>
            <w:r>
              <w:rPr>
                <w:rFonts w:ascii="Times New Roman" w:hAnsi="Times New Roman" w:cs="Times New Roman"/>
                <w:sz w:val="24"/>
                <w:szCs w:val="24"/>
              </w:rPr>
              <w:t xml:space="preserve">Gesualdo, F., &amp; Tozzi, A. E. (2017). What drives attitude towards telemedicine among </w:t>
            </w:r>
            <w:r>
              <w:rPr>
                <w:rFonts w:ascii="Times New Roman" w:hAnsi="Times New Roman" w:cs="Times New Roman"/>
                <w:sz w:val="24"/>
                <w:szCs w:val="24"/>
              </w:rPr>
              <w:tab/>
            </w:r>
            <w:r>
              <w:rPr>
                <w:rFonts w:ascii="Times New Roman" w:hAnsi="Times New Roman" w:cs="Times New Roman"/>
                <w:sz w:val="24"/>
                <w:szCs w:val="24"/>
              </w:rPr>
              <w:t>families of pediatric patients? A survey. </w:t>
            </w:r>
            <w:r>
              <w:rPr>
                <w:rFonts w:ascii="Times New Roman" w:hAnsi="Times New Roman" w:cs="Times New Roman"/>
                <w:i/>
                <w:iCs/>
                <w:sz w:val="24"/>
                <w:szCs w:val="24"/>
              </w:rPr>
              <w:t>BMC pediatrics</w:t>
            </w:r>
            <w:r>
              <w:rPr>
                <w:rFonts w:ascii="Times New Roman" w:hAnsi="Times New Roman" w:cs="Times New Roman"/>
                <w:sz w:val="24"/>
                <w:szCs w:val="24"/>
              </w:rPr>
              <w:t>, </w:t>
            </w:r>
            <w:r>
              <w:rPr>
                <w:rFonts w:ascii="Times New Roman" w:hAnsi="Times New Roman" w:cs="Times New Roman"/>
                <w:i/>
                <w:iCs/>
                <w:sz w:val="24"/>
                <w:szCs w:val="24"/>
              </w:rPr>
              <w:t>17</w:t>
            </w:r>
            <w:r>
              <w:rPr>
                <w:rFonts w:ascii="Times New Roman" w:hAnsi="Times New Roman" w:cs="Times New Roman"/>
                <w:sz w:val="24"/>
                <w:szCs w:val="24"/>
              </w:rPr>
              <w:t xml:space="preserve">(1), 21. </w:t>
            </w:r>
            <w:r>
              <w:rPr>
                <w:rFonts w:ascii="Times New Roman" w:hAnsi="Times New Roman" w:cs="Times New Roman"/>
                <w:sz w:val="24"/>
                <w:szCs w:val="24"/>
              </w:rPr>
              <w:tab/>
            </w:r>
            <w:r>
              <w:rPr>
                <w:rFonts w:ascii="Times New Roman" w:hAnsi="Times New Roman" w:cs="Times New Roman"/>
                <w:sz w:val="24"/>
                <w:szCs w:val="24"/>
              </w:rPr>
              <w:t>https://doi.org/10.1186/s12887-016-0756-x</w:t>
            </w:r>
          </w:p>
          <w:p>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Zanaboni, P. &amp; Wootton, R. (2012). Adoption of telemedicine: from the pilot stage to routine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delivery. </w:t>
            </w:r>
            <w:r>
              <w:rPr>
                <w:rFonts w:ascii="Times New Roman" w:hAnsi="Times New Roman" w:cs="Times New Roman"/>
                <w:i/>
                <w:iCs/>
                <w:sz w:val="24"/>
                <w:szCs w:val="24"/>
                <w:shd w:val="clear" w:color="auto" w:fill="FFFFFF"/>
              </w:rPr>
              <w:t>BMC medical informatics and decision making</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12</w:t>
            </w:r>
            <w:r>
              <w:rPr>
                <w:rFonts w:ascii="Times New Roman" w:hAnsi="Times New Roman" w:cs="Times New Roman"/>
                <w:sz w:val="24"/>
                <w:szCs w:val="24"/>
                <w:shd w:val="clear" w:color="auto" w:fill="FFFFFF"/>
              </w:rPr>
              <w:t xml:space="preserve">, 1. </w:t>
            </w:r>
            <w:r>
              <w:rPr>
                <w:rFonts w:ascii="Times New Roman" w:hAnsi="Times New Roman" w:cs="Times New Roman"/>
                <w:sz w:val="24"/>
                <w:szCs w:val="24"/>
                <w:shd w:val="clear" w:color="auto" w:fill="FFFFFF"/>
              </w:rPr>
              <w:tab/>
            </w:r>
            <w:r>
              <w:fldChar w:fldCharType="begin"/>
            </w:r>
            <w:r>
              <w:instrText xml:space="preserve"> HYPERLINK "https://doi.org/10.1186/1472-%096947-12-1" </w:instrText>
            </w:r>
            <w:r>
              <w:fldChar w:fldCharType="separate"/>
            </w:r>
            <w:r>
              <w:rPr>
                <w:rStyle w:val="21"/>
                <w:rFonts w:ascii="Times New Roman" w:hAnsi="Times New Roman" w:cs="Times New Roman"/>
                <w:color w:val="auto"/>
                <w:sz w:val="24"/>
                <w:szCs w:val="24"/>
                <w:u w:val="none"/>
                <w:shd w:val="clear" w:color="auto" w:fill="FFFFFF"/>
              </w:rPr>
              <w:t>https://doi.org/10.1186/1472-</w:t>
            </w:r>
            <w:r>
              <w:rPr>
                <w:rStyle w:val="21"/>
                <w:rFonts w:ascii="Times New Roman" w:hAnsi="Times New Roman" w:cs="Times New Roman"/>
                <w:color w:val="auto"/>
                <w:sz w:val="24"/>
                <w:szCs w:val="24"/>
                <w:u w:val="none"/>
                <w:shd w:val="clear" w:color="auto" w:fill="FFFFFF"/>
              </w:rPr>
              <w:tab/>
            </w:r>
            <w:r>
              <w:rPr>
                <w:rStyle w:val="21"/>
                <w:rFonts w:ascii="Times New Roman" w:hAnsi="Times New Roman" w:cs="Times New Roman"/>
                <w:color w:val="auto"/>
                <w:sz w:val="24"/>
                <w:szCs w:val="24"/>
                <w:u w:val="none"/>
                <w:shd w:val="clear" w:color="auto" w:fill="FFFFFF"/>
              </w:rPr>
              <w:t>6947-12-1</w:t>
            </w:r>
            <w:r>
              <w:rPr>
                <w:rStyle w:val="21"/>
                <w:rFonts w:ascii="Times New Roman" w:hAnsi="Times New Roman" w:cs="Times New Roman"/>
                <w:color w:val="auto"/>
                <w:sz w:val="24"/>
                <w:szCs w:val="24"/>
                <w:u w:val="none"/>
                <w:shd w:val="clear" w:color="auto" w:fill="FFFFFF"/>
              </w:rPr>
              <w:fldChar w:fldCharType="end"/>
            </w: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right w:val="single" w:color="auto" w:sz="6" w:space="0"/>
            </w:tcBorders>
            <w:shd w:val="solid" w:color="FFFFFF" w:fill="FFFFFF"/>
          </w:tcPr>
          <w:p>
            <w:pPr>
              <w:spacing w:line="480" w:lineRule="auto"/>
              <w:rPr>
                <w:rFonts w:ascii="Times New Roman" w:hAnsi="Times New Roman" w:cs="Times New Roman"/>
                <w:b/>
                <w:sz w:val="24"/>
                <w:szCs w:val="24"/>
              </w:rPr>
            </w:pPr>
            <w:r>
              <w:rPr>
                <w:rFonts w:ascii="Times New Roman" w:hAnsi="Times New Roman" w:cs="Times New Roman"/>
                <w:b/>
                <w:sz w:val="24"/>
                <w:szCs w:val="24"/>
              </w:rPr>
              <w:t>Ethical and Social Responsibility</w:t>
            </w:r>
          </w:p>
        </w:tc>
      </w:tr>
      <w:tr>
        <w:tblPrEx>
          <w:tblLayout w:type="fixed"/>
          <w:tblCellMar>
            <w:top w:w="0" w:type="dxa"/>
            <w:left w:w="101" w:type="dxa"/>
            <w:bottom w:w="0" w:type="dxa"/>
            <w:right w:w="101" w:type="dxa"/>
          </w:tblCellMar>
        </w:tblPrEx>
        <w:trPr>
          <w:trHeight w:val="1308" w:hRule="atLeast"/>
        </w:trPr>
        <w:tc>
          <w:tcPr>
            <w:tcW w:w="9720" w:type="dxa"/>
            <w:tcBorders>
              <w:top w:val="single" w:color="auto" w:sz="6" w:space="0"/>
              <w:left w:val="single" w:color="auto" w:sz="6" w:space="0"/>
              <w:right w:val="single" w:color="auto" w:sz="6" w:space="0"/>
            </w:tcBorders>
            <w:shd w:val="solid" w:color="FFFFFF" w:fill="FFFFFF"/>
          </w:tcPr>
          <w:p>
            <w:p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telehealth seeks to improve accessibility of healthcare services, some patients can pretend to have symptoms so that they get medicine for their loved ones. The dilemma in this context is whether healthcare providers should provide medication to all patients with or without critical evidence about symptoms. The practice can be common since there is no evidence or personal examination to determine the extent of the symptoms. However, this could happen when some individuals with insurance pretend to have symptoms so that they get medication for their friends without medical insurance. Nevertheless, the hospital will implement a follow-up plan to ensure accountability and be ethical in the medication process. </w:t>
            </w: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right w:val="single" w:color="auto" w:sz="6" w:space="0"/>
            </w:tcBorders>
            <w:shd w:val="solid" w:color="FFFFFF" w:fill="FFFFFF"/>
          </w:tcPr>
          <w:p>
            <w:pPr>
              <w:spacing w:line="480" w:lineRule="auto"/>
              <w:rPr>
                <w:rFonts w:ascii="Times New Roman" w:hAnsi="Times New Roman" w:cs="Times New Roman"/>
                <w:sz w:val="24"/>
                <w:szCs w:val="24"/>
              </w:rPr>
            </w:pPr>
            <w:r>
              <w:rPr>
                <w:rFonts w:ascii="Times New Roman" w:hAnsi="Times New Roman" w:cs="Times New Roman"/>
                <w:b/>
                <w:sz w:val="24"/>
                <w:szCs w:val="24"/>
                <w:lang w:val="ru-RU" w:eastAsia="ru-RU"/>
              </w:rPr>
              <mc:AlternateContent>
                <mc:Choice Requires="wps">
                  <w:drawing>
                    <wp:anchor distT="0" distB="0" distL="114300" distR="114300" simplePos="0" relativeHeight="251658240" behindDoc="0" locked="0" layoutInCell="1" allowOverlap="1">
                      <wp:simplePos x="0" y="0"/>
                      <wp:positionH relativeFrom="column">
                        <wp:posOffset>1355725</wp:posOffset>
                      </wp:positionH>
                      <wp:positionV relativeFrom="paragraph">
                        <wp:posOffset>7620</wp:posOffset>
                      </wp:positionV>
                      <wp:extent cx="251460" cy="220980"/>
                      <wp:effectExtent l="0" t="0" r="2540" b="0"/>
                      <wp:wrapNone/>
                      <wp:docPr id="15" name="Rectangle 2"/>
                      <wp:cNvGraphicFramePr/>
                      <a:graphic xmlns:a="http://schemas.openxmlformats.org/drawingml/2006/main">
                        <a:graphicData uri="http://schemas.microsoft.com/office/word/2010/wordprocessingShape">
                          <wps:wsp>
                            <wps:cNvSpPr/>
                            <wps:spPr bwMode="auto">
                              <a:xfrm>
                                <a:off x="0" y="0"/>
                                <a:ext cx="251460" cy="220980"/>
                              </a:xfrm>
                              <a:prstGeom prst="rect">
                                <a:avLst/>
                              </a:prstGeom>
                              <a:solidFill>
                                <a:srgbClr val="FFFFFF"/>
                              </a:solidFill>
                              <a:ln w="9525">
                                <a:solidFill>
                                  <a:srgbClr val="000000"/>
                                </a:solidFill>
                                <a:miter lim="800000"/>
                              </a:ln>
                            </wps:spPr>
                            <wps:txbx>
                              <w:txbxContent>
                                <w:p>
                                  <w:pPr>
                                    <w:jc w:val="center"/>
                                    <w:rPr>
                                      <w:sz w:val="18"/>
                                      <w:szCs w:val="18"/>
                                    </w:rPr>
                                  </w:pPr>
                                  <w:r>
                                    <w:rPr>
                                      <w:sz w:val="18"/>
                                      <w:szCs w:val="18"/>
                                    </w:rPr>
                                    <w:t>V</w:t>
                                  </w:r>
                                </w:p>
                              </w:txbxContent>
                            </wps:txbx>
                            <wps:bodyPr rot="0" vert="horz" wrap="square" anchor="t" anchorCtr="0" upright="1"/>
                          </wps:wsp>
                        </a:graphicData>
                      </a:graphic>
                    </wp:anchor>
                  </w:drawing>
                </mc:Choice>
                <mc:Fallback>
                  <w:pict>
                    <v:rect id="Rectangle 2" o:spid="_x0000_s1026" o:spt="1" style="position:absolute;left:0pt;margin-left:106.75pt;margin-top:0.6pt;height:17.4pt;width:19.8pt;z-index:251658240;mso-width-relative:page;mso-height-relative:page;" fillcolor="#FFFFFF" filled="t" stroked="t" coordsize="21600,21600" o:gfxdata="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WxHudYAAAAIAQAADwAAAAAAAAABACAA&#10;AAAiAAAAZHJzL2Rvd25yZXYueG1sUEsBAhQAFAAAAAgAh07iQLniddrWAQAAsQMAAA4AAAAAAAAA&#10;AQAgAAAAJQEAAGRycy9lMm9Eb2MueG1sUEsFBgAAAAAGAAYAWQEAAG0FAAAAAA==&#10;">
                      <v:fill on="t" focussize="0,0"/>
                      <v:stroke color="#000000" miterlimit="8" joinstyle="miter"/>
                      <v:imagedata o:title=""/>
                      <o:lock v:ext="edit" aspectratio="f"/>
                      <v:textbox>
                        <w:txbxContent>
                          <w:p>
                            <w:pPr>
                              <w:jc w:val="center"/>
                              <w:rPr>
                                <w:sz w:val="18"/>
                                <w:szCs w:val="18"/>
                              </w:rPr>
                            </w:pPr>
                            <w:r>
                              <w:rPr>
                                <w:sz w:val="18"/>
                                <w:szCs w:val="18"/>
                              </w:rPr>
                              <w:t>V</w:t>
                            </w:r>
                          </w:p>
                        </w:txbxContent>
                      </v:textbox>
                    </v:rect>
                  </w:pict>
                </mc:Fallback>
              </mc:AlternateContent>
            </w:r>
            <w:r>
              <w:rPr>
                <w:rFonts w:ascii="Times New Roman" w:hAnsi="Times New Roman" w:cs="Times New Roman"/>
                <w:b/>
                <w:sz w:val="24"/>
                <w:szCs w:val="24"/>
              </w:rPr>
              <w:t xml:space="preserve">Individual Project or Team Project   </w:t>
            </w:r>
            <w:r>
              <w:rPr>
                <w:rFonts w:ascii="Times New Roman" w:hAnsi="Times New Roman" w:cs="Times New Roman"/>
                <w:b/>
                <w:i/>
                <w:sz w:val="24"/>
                <w:szCs w:val="24"/>
              </w:rPr>
              <w:t>(</w:t>
            </w:r>
            <w:r>
              <w:rPr>
                <w:rFonts w:ascii="Times New Roman" w:hAnsi="Times New Roman" w:cs="Times New Roman"/>
                <w:i/>
                <w:sz w:val="24"/>
                <w:szCs w:val="24"/>
              </w:rPr>
              <w:t>Degree candidates are required to complete at least two SMACs as a team with other students from the course).</w:t>
            </w: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right w:val="single" w:color="auto" w:sz="6" w:space="0"/>
            </w:tcBorders>
            <w:shd w:val="solid" w:color="FFFFFF" w:fill="FFFFFF"/>
          </w:tcPr>
          <w:p>
            <w:pPr>
              <w:spacing w:line="480" w:lineRule="auto"/>
              <w:rPr>
                <w:rFonts w:ascii="Times New Roman" w:hAnsi="Times New Roman" w:cs="Times New Roman"/>
                <w:i/>
                <w:sz w:val="24"/>
                <w:szCs w:val="24"/>
              </w:rPr>
            </w:pPr>
            <w:r>
              <w:rPr>
                <w:rFonts w:ascii="Times New Roman" w:hAnsi="Times New Roman" w:cs="Times New Roman"/>
                <w:i/>
                <w:sz w:val="24"/>
                <w:szCs w:val="24"/>
                <w:lang w:val="ru-RU" w:eastAsia="ru-RU"/>
              </w:rPr>
              <mc:AlternateContent>
                <mc:Choice Requires="wps">
                  <w:drawing>
                    <wp:anchor distT="0" distB="0" distL="114300" distR="114300" simplePos="0" relativeHeight="251660288" behindDoc="0" locked="0" layoutInCell="1" allowOverlap="1">
                      <wp:simplePos x="0" y="0"/>
                      <wp:positionH relativeFrom="column">
                        <wp:posOffset>3771265</wp:posOffset>
                      </wp:positionH>
                      <wp:positionV relativeFrom="paragraph">
                        <wp:posOffset>30480</wp:posOffset>
                      </wp:positionV>
                      <wp:extent cx="177800" cy="158750"/>
                      <wp:effectExtent l="0" t="0" r="0" b="6350"/>
                      <wp:wrapNone/>
                      <wp:docPr id="14" name="Rectangle 3"/>
                      <wp:cNvGraphicFramePr/>
                      <a:graphic xmlns:a="http://schemas.openxmlformats.org/drawingml/2006/main">
                        <a:graphicData uri="http://schemas.microsoft.com/office/word/2010/wordprocessingShape">
                          <wps:wsp>
                            <wps:cNvSpPr/>
                            <wps:spPr bwMode="auto">
                              <a:xfrm>
                                <a:off x="0" y="0"/>
                                <a:ext cx="177800" cy="158750"/>
                              </a:xfrm>
                              <a:prstGeom prst="rect">
                                <a:avLst/>
                              </a:prstGeom>
                              <a:solidFill>
                                <a:srgbClr val="FFFFFF"/>
                              </a:solidFill>
                              <a:ln w="9525">
                                <a:solidFill>
                                  <a:srgbClr val="000000"/>
                                </a:solidFill>
                                <a:miter lim="800000"/>
                              </a:ln>
                            </wps:spPr>
                            <wps:bodyPr rot="0" vert="horz" wrap="square" anchor="t" anchorCtr="0" upright="1"/>
                          </wps:wsp>
                        </a:graphicData>
                      </a:graphic>
                    </wp:anchor>
                  </w:drawing>
                </mc:Choice>
                <mc:Fallback>
                  <w:pict>
                    <v:rect id="Rectangle 3" o:spid="_x0000_s1026" o:spt="1" style="position:absolute;left:0pt;margin-left:296.95pt;margin-top:2.4pt;height:12.5pt;width:14pt;z-index:251660288;mso-width-relative:page;mso-height-relative:page;" fillcolor="#FFFFFF" filled="t" stroked="t" coordsize="21600,21600" o:gfxdata="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oHl1NYAAAAIAQAADwAAAAAAAAABACAAAAAi&#10;AAAAZHJzL2Rvd25yZXYueG1sUEsBAhQAFAAAAAgAh07iQCSNxmvTAQAApgMAAA4AAAAAAAAAAQAg&#10;AAAAJQEAAGRycy9lMm9Eb2MueG1sUEsFBgAAAAAGAAYAWQEAAGoFAAAAAA==&#10;">
                      <v:fill on="t" focussize="0,0"/>
                      <v:stroke color="#000000" miterlimit="8" joinstyle="miter"/>
                      <v:imagedata o:title=""/>
                      <o:lock v:ext="edit" aspectratio="f"/>
                    </v:rect>
                  </w:pict>
                </mc:Fallback>
              </mc:AlternateContent>
            </w:r>
            <w:r>
              <w:rPr>
                <w:rFonts w:ascii="Times New Roman" w:hAnsi="Times New Roman" w:cs="Times New Roman"/>
                <w:i/>
                <w:sz w:val="24"/>
                <w:szCs w:val="24"/>
              </w:rPr>
              <w:t xml:space="preserve">Is it your intent to present this SMAC to your company?  </w:t>
            </w:r>
            <w:r>
              <w:rPr>
                <w:rFonts w:ascii="Times New Roman" w:hAnsi="Times New Roman" w:cs="Times New Roman"/>
                <w:b/>
                <w:sz w:val="24"/>
                <w:szCs w:val="24"/>
              </w:rPr>
              <w:t xml:space="preserve">Yes   No  </w:t>
            </w:r>
            <w:r>
              <w:rPr>
                <w:rFonts w:ascii="Times New Roman" w:hAnsi="Times New Roman" w:cs="Times New Roman"/>
                <w:sz w:val="24"/>
                <w:szCs w:val="24"/>
                <w:bdr w:val="single" w:color="auto" w:sz="4" w:space="0"/>
              </w:rPr>
              <w:t>√</w:t>
            </w:r>
          </w:p>
        </w:tc>
      </w:tr>
      <w:tr>
        <w:tblPrEx>
          <w:tblLayout w:type="fixed"/>
          <w:tblCellMar>
            <w:top w:w="0" w:type="dxa"/>
            <w:left w:w="101" w:type="dxa"/>
            <w:bottom w:w="0" w:type="dxa"/>
            <w:right w:w="101" w:type="dxa"/>
          </w:tblCellMar>
        </w:tblPrEx>
        <w:trPr>
          <w:trHeight w:val="822" w:hRule="atLeast"/>
        </w:trPr>
        <w:tc>
          <w:tcPr>
            <w:tcW w:w="9720" w:type="dxa"/>
            <w:tcBorders>
              <w:top w:val="single" w:color="auto" w:sz="6" w:space="0"/>
              <w:left w:val="single" w:color="auto" w:sz="6" w:space="0"/>
              <w:right w:val="single" w:color="auto" w:sz="6" w:space="0"/>
            </w:tcBorders>
            <w:shd w:val="solid" w:color="FFFFFF" w:fill="FFFFFF"/>
          </w:tcPr>
          <w:p>
            <w:pPr>
              <w:spacing w:line="480" w:lineRule="auto"/>
              <w:rPr>
                <w:rFonts w:ascii="Times New Roman" w:hAnsi="Times New Roman" w:cs="Times New Roman"/>
                <w:b/>
                <w:sz w:val="24"/>
                <w:szCs w:val="24"/>
              </w:rPr>
            </w:pPr>
            <w:r>
              <w:rPr>
                <w:rFonts w:ascii="Times New Roman" w:hAnsi="Times New Roman" w:cs="Times New Roman"/>
                <w:b/>
                <w:sz w:val="24"/>
                <w:szCs w:val="24"/>
              </w:rPr>
              <w:t>Due  Date</w:t>
            </w: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bottom w:val="single" w:color="auto" w:sz="6" w:space="0"/>
              <w:right w:val="single" w:color="auto" w:sz="6" w:space="0"/>
            </w:tcBorders>
            <w:shd w:val="solid" w:color="FFFFFF" w:fill="FFFFFF"/>
          </w:tcPr>
          <w:p>
            <w:pPr>
              <w:spacing w:line="480" w:lineRule="auto"/>
              <w:rPr>
                <w:rFonts w:ascii="Times New Roman" w:hAnsi="Times New Roman" w:cs="Times New Roman"/>
                <w:sz w:val="24"/>
                <w:szCs w:val="24"/>
              </w:rPr>
            </w:pPr>
            <w:r>
              <w:rPr>
                <w:rFonts w:ascii="Times New Roman" w:hAnsi="Times New Roman" w:cs="Times New Roman"/>
                <w:b/>
                <w:sz w:val="24"/>
                <w:szCs w:val="24"/>
              </w:rPr>
              <w:t xml:space="preserve">Student Signature(s)                                                                          </w:t>
            </w:r>
          </w:p>
        </w:tc>
      </w:tr>
      <w:tr>
        <w:tblPrEx>
          <w:tblLayout w:type="fixed"/>
          <w:tblCellMar>
            <w:top w:w="0" w:type="dxa"/>
            <w:left w:w="101" w:type="dxa"/>
            <w:bottom w:w="0" w:type="dxa"/>
            <w:right w:w="101" w:type="dxa"/>
          </w:tblCellMar>
        </w:tblPrEx>
        <w:tc>
          <w:tcPr>
            <w:tcW w:w="9720" w:type="dxa"/>
            <w:tcBorders>
              <w:top w:val="single" w:color="auto" w:sz="6" w:space="0"/>
              <w:left w:val="single" w:color="auto" w:sz="6" w:space="0"/>
              <w:bottom w:val="single" w:color="auto" w:sz="4" w:space="0"/>
              <w:right w:val="single" w:color="auto" w:sz="6" w:space="0"/>
            </w:tcBorders>
            <w:shd w:val="solid" w:color="FFFFFF" w:fill="FFFFFF"/>
          </w:tcPr>
          <w:p>
            <w:pPr>
              <w:spacing w:line="480" w:lineRule="auto"/>
              <w:rPr>
                <w:rFonts w:ascii="Times New Roman" w:hAnsi="Times New Roman" w:cs="Times New Roman"/>
                <w:sz w:val="24"/>
                <w:szCs w:val="24"/>
              </w:rPr>
            </w:pPr>
            <w:r>
              <w:rPr>
                <w:rFonts w:ascii="Times New Roman" w:hAnsi="Times New Roman" w:cs="Times New Roman"/>
                <w:sz w:val="24"/>
                <w:szCs w:val="24"/>
              </w:rPr>
              <w:t xml:space="preserve">I (we) agree to uphold the College’s core value of academic integrity. I (we) pledge that this SMAC will not contain one or more sections, in whole or part, that have already been included in another SMAC without the instructor’s explicit approval.  Any violation of this provision constitutes Academic Dishonesty. </w:t>
            </w:r>
          </w:p>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________________________      _______________________  __________________________        </w:t>
            </w: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Instructor’s Approval _________________________________                                                8/11</w:t>
            </w:r>
          </w:p>
          <w:p>
            <w:pPr>
              <w:spacing w:line="48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The approved Learning Contract must be submitted with the SMAC</w:t>
            </w:r>
            <w:r>
              <w:rPr>
                <w:rFonts w:ascii="Times New Roman" w:hAnsi="Times New Roman" w:cs="Times New Roman"/>
                <w:b/>
                <w:sz w:val="24"/>
                <w:szCs w:val="24"/>
              </w:rPr>
              <w:t>)</w:t>
            </w:r>
          </w:p>
        </w:tc>
      </w:tr>
    </w:tbl>
    <w:p>
      <w:pPr>
        <w:spacing w:line="480" w:lineRule="auto"/>
        <w:rPr>
          <w:rFonts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decorative"/>
    <w:pitch w:val="default"/>
    <w:sig w:usb0="E1002EFF" w:usb1="C000605B" w:usb2="00000029" w:usb3="00000000" w:csb0="200101FF" w:csb1="20280000"/>
  </w:font>
  <w:font w:name="MS ??">
    <w:altName w:val="Yu Gothic UI"/>
    <w:panose1 w:val="020B0604020202020204"/>
    <w:charset w:val="80"/>
    <w:family w:val="auto"/>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wM7AwsDQyA7INzZR0lIJTi4sz8/NACgxrARDKE5csAAAA"/>
  </w:docVars>
  <w:rsids>
    <w:rsidRoot w:val="00323C44"/>
    <w:rsid w:val="0000782B"/>
    <w:rsid w:val="00066970"/>
    <w:rsid w:val="000953A1"/>
    <w:rsid w:val="000C56D7"/>
    <w:rsid w:val="000D19BF"/>
    <w:rsid w:val="000D1D6A"/>
    <w:rsid w:val="000E1F68"/>
    <w:rsid w:val="000E6553"/>
    <w:rsid w:val="000F0673"/>
    <w:rsid w:val="000F718B"/>
    <w:rsid w:val="00107F3E"/>
    <w:rsid w:val="00155E2E"/>
    <w:rsid w:val="001644C6"/>
    <w:rsid w:val="001868EC"/>
    <w:rsid w:val="001A45F0"/>
    <w:rsid w:val="001C296B"/>
    <w:rsid w:val="001C670F"/>
    <w:rsid w:val="001F2550"/>
    <w:rsid w:val="00203275"/>
    <w:rsid w:val="00237A86"/>
    <w:rsid w:val="002451AF"/>
    <w:rsid w:val="00275844"/>
    <w:rsid w:val="00277DCB"/>
    <w:rsid w:val="002B4C7D"/>
    <w:rsid w:val="002E5058"/>
    <w:rsid w:val="002F227C"/>
    <w:rsid w:val="003011FF"/>
    <w:rsid w:val="00323C44"/>
    <w:rsid w:val="003242DE"/>
    <w:rsid w:val="00345E12"/>
    <w:rsid w:val="003628B4"/>
    <w:rsid w:val="00373525"/>
    <w:rsid w:val="00382A92"/>
    <w:rsid w:val="003C7F7B"/>
    <w:rsid w:val="003E47DA"/>
    <w:rsid w:val="0040001E"/>
    <w:rsid w:val="00411386"/>
    <w:rsid w:val="00415C8F"/>
    <w:rsid w:val="00431F75"/>
    <w:rsid w:val="0048134C"/>
    <w:rsid w:val="004978B5"/>
    <w:rsid w:val="004B3B1F"/>
    <w:rsid w:val="004B4DCC"/>
    <w:rsid w:val="004E1973"/>
    <w:rsid w:val="004F2A2A"/>
    <w:rsid w:val="00516E70"/>
    <w:rsid w:val="00545FC9"/>
    <w:rsid w:val="00574303"/>
    <w:rsid w:val="005A1E71"/>
    <w:rsid w:val="005B5904"/>
    <w:rsid w:val="005C5F4F"/>
    <w:rsid w:val="006444D0"/>
    <w:rsid w:val="00646595"/>
    <w:rsid w:val="006601CA"/>
    <w:rsid w:val="006801F9"/>
    <w:rsid w:val="006A1FE3"/>
    <w:rsid w:val="006C52FB"/>
    <w:rsid w:val="006F193B"/>
    <w:rsid w:val="006F6A57"/>
    <w:rsid w:val="00701F3A"/>
    <w:rsid w:val="00730C5B"/>
    <w:rsid w:val="007533AA"/>
    <w:rsid w:val="00791834"/>
    <w:rsid w:val="00795A7E"/>
    <w:rsid w:val="007A7395"/>
    <w:rsid w:val="007B4543"/>
    <w:rsid w:val="007B697D"/>
    <w:rsid w:val="007C00F2"/>
    <w:rsid w:val="007C7449"/>
    <w:rsid w:val="007E575A"/>
    <w:rsid w:val="0081600D"/>
    <w:rsid w:val="00822D37"/>
    <w:rsid w:val="00862A23"/>
    <w:rsid w:val="008900AE"/>
    <w:rsid w:val="00892D8F"/>
    <w:rsid w:val="008A07EB"/>
    <w:rsid w:val="008A0F15"/>
    <w:rsid w:val="008C0E0F"/>
    <w:rsid w:val="008C2073"/>
    <w:rsid w:val="008E723F"/>
    <w:rsid w:val="008F4B31"/>
    <w:rsid w:val="0092672C"/>
    <w:rsid w:val="00965B6E"/>
    <w:rsid w:val="0097055B"/>
    <w:rsid w:val="0099092E"/>
    <w:rsid w:val="009B3DC2"/>
    <w:rsid w:val="009E0101"/>
    <w:rsid w:val="009E2266"/>
    <w:rsid w:val="00A3070C"/>
    <w:rsid w:val="00A3490C"/>
    <w:rsid w:val="00A45090"/>
    <w:rsid w:val="00A5090F"/>
    <w:rsid w:val="00A52FB8"/>
    <w:rsid w:val="00A65F0C"/>
    <w:rsid w:val="00A70FBE"/>
    <w:rsid w:val="00A77B62"/>
    <w:rsid w:val="00A804E5"/>
    <w:rsid w:val="00AE28F3"/>
    <w:rsid w:val="00AF4C8B"/>
    <w:rsid w:val="00AF5D96"/>
    <w:rsid w:val="00B12421"/>
    <w:rsid w:val="00B15E69"/>
    <w:rsid w:val="00B235F7"/>
    <w:rsid w:val="00B513AC"/>
    <w:rsid w:val="00BB0F19"/>
    <w:rsid w:val="00BB4AB6"/>
    <w:rsid w:val="00C1451C"/>
    <w:rsid w:val="00C532E2"/>
    <w:rsid w:val="00C62EE3"/>
    <w:rsid w:val="00C71B40"/>
    <w:rsid w:val="00CB3D08"/>
    <w:rsid w:val="00CC73C6"/>
    <w:rsid w:val="00CF2ED1"/>
    <w:rsid w:val="00CF724B"/>
    <w:rsid w:val="00D16748"/>
    <w:rsid w:val="00D41B06"/>
    <w:rsid w:val="00D61FB9"/>
    <w:rsid w:val="00D70FE8"/>
    <w:rsid w:val="00D90A31"/>
    <w:rsid w:val="00DA5499"/>
    <w:rsid w:val="00DA6A8D"/>
    <w:rsid w:val="00DD0374"/>
    <w:rsid w:val="00DD22F5"/>
    <w:rsid w:val="00DE7C8B"/>
    <w:rsid w:val="00DF278D"/>
    <w:rsid w:val="00E013DF"/>
    <w:rsid w:val="00E05430"/>
    <w:rsid w:val="00E505C1"/>
    <w:rsid w:val="00E8571D"/>
    <w:rsid w:val="00E952DD"/>
    <w:rsid w:val="00EB1286"/>
    <w:rsid w:val="00EC7FEF"/>
    <w:rsid w:val="00EF62A9"/>
    <w:rsid w:val="00F06AB2"/>
    <w:rsid w:val="00F16F11"/>
    <w:rsid w:val="00F232B2"/>
    <w:rsid w:val="00F2533F"/>
    <w:rsid w:val="00F44792"/>
    <w:rsid w:val="00F462B3"/>
    <w:rsid w:val="00F60B72"/>
    <w:rsid w:val="00F67486"/>
    <w:rsid w:val="00F75428"/>
    <w:rsid w:val="00FA097C"/>
    <w:rsid w:val="00FA23D7"/>
    <w:rsid w:val="00FA2FA2"/>
    <w:rsid w:val="00FF51E8"/>
    <w:rsid w:val="75D834F2"/>
    <w:rsid w:val="FFE8D79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3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4"/>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5"/>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6"/>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7"/>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8"/>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9"/>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40"/>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41"/>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8">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29"/>
    <w:unhideWhenUsed/>
    <w:uiPriority w:val="99"/>
    <w:rPr>
      <w:rFonts w:ascii="Tahoma" w:hAnsi="Tahoma" w:eastAsia="MS ??" w:cs="Tahoma"/>
      <w:sz w:val="16"/>
      <w:szCs w:val="16"/>
    </w:rPr>
  </w:style>
  <w:style w:type="paragraph" w:styleId="12">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annotation text"/>
    <w:basedOn w:val="1"/>
    <w:link w:val="27"/>
    <w:unhideWhenUsed/>
    <w:uiPriority w:val="99"/>
    <w:rPr>
      <w:rFonts w:ascii="Cambria" w:hAnsi="Cambria" w:eastAsia="MS ??" w:cs="Cambria"/>
      <w:sz w:val="20"/>
      <w:szCs w:val="20"/>
    </w:rPr>
  </w:style>
  <w:style w:type="paragraph" w:styleId="14">
    <w:name w:val="annotation subject"/>
    <w:basedOn w:val="13"/>
    <w:next w:val="13"/>
    <w:link w:val="28"/>
    <w:unhideWhenUsed/>
    <w:uiPriority w:val="99"/>
    <w:rPr>
      <w:b/>
      <w:bCs/>
    </w:rPr>
  </w:style>
  <w:style w:type="paragraph" w:styleId="15">
    <w:name w:val="Normal (Web)"/>
    <w:basedOn w:val="1"/>
    <w:unhideWhenUsed/>
    <w:qFormat/>
    <w:uiPriority w:val="99"/>
  </w:style>
  <w:style w:type="paragraph" w:styleId="16">
    <w:name w:val="Subtitle"/>
    <w:basedOn w:val="1"/>
    <w:next w:val="1"/>
    <w:link w:val="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7">
    <w:name w:val="Title"/>
    <w:basedOn w:val="1"/>
    <w:next w:val="1"/>
    <w:link w:val="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19">
    <w:name w:val="annotation reference"/>
    <w:basedOn w:val="18"/>
    <w:unhideWhenUsed/>
    <w:uiPriority w:val="99"/>
    <w:rPr>
      <w:sz w:val="16"/>
      <w:szCs w:val="16"/>
    </w:rPr>
  </w:style>
  <w:style w:type="character" w:styleId="20">
    <w:name w:val="Emphasis"/>
    <w:basedOn w:val="18"/>
    <w:qFormat/>
    <w:uiPriority w:val="20"/>
    <w:rPr>
      <w:i/>
      <w:iCs/>
    </w:rPr>
  </w:style>
  <w:style w:type="character" w:styleId="21">
    <w:name w:val="Hyperlink"/>
    <w:basedOn w:val="18"/>
    <w:unhideWhenUsed/>
    <w:uiPriority w:val="99"/>
    <w:rPr>
      <w:color w:val="0000FF"/>
      <w:u w:val="single"/>
    </w:rPr>
  </w:style>
  <w:style w:type="character" w:styleId="22">
    <w:name w:val="Strong"/>
    <w:basedOn w:val="18"/>
    <w:qFormat/>
    <w:uiPriority w:val="22"/>
    <w:rPr>
      <w:b/>
      <w:bCs/>
    </w:rPr>
  </w:style>
  <w:style w:type="character" w:customStyle="1" w:styleId="24">
    <w:name w:val="Heading 2 Char"/>
    <w:basedOn w:val="18"/>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25">
    <w:name w:val="List Paragraph"/>
    <w:basedOn w:val="1"/>
    <w:qFormat/>
    <w:uiPriority w:val="34"/>
    <w:pPr>
      <w:ind w:left="720"/>
      <w:contextualSpacing/>
    </w:pPr>
  </w:style>
  <w:style w:type="paragraph" w:customStyle="1" w:styleId="26">
    <w:name w:val="Bibliography1"/>
    <w:basedOn w:val="1"/>
    <w:next w:val="1"/>
    <w:unhideWhenUsed/>
    <w:uiPriority w:val="37"/>
  </w:style>
  <w:style w:type="character" w:customStyle="1" w:styleId="27">
    <w:name w:val="Comment Text Char"/>
    <w:basedOn w:val="18"/>
    <w:link w:val="13"/>
    <w:semiHidden/>
    <w:uiPriority w:val="99"/>
    <w:rPr>
      <w:rFonts w:ascii="Cambria" w:hAnsi="Cambria" w:eastAsia="MS ??" w:cs="Cambria"/>
      <w:sz w:val="20"/>
      <w:szCs w:val="20"/>
    </w:rPr>
  </w:style>
  <w:style w:type="character" w:customStyle="1" w:styleId="28">
    <w:name w:val="Comment Subject Char"/>
    <w:basedOn w:val="27"/>
    <w:link w:val="14"/>
    <w:semiHidden/>
    <w:uiPriority w:val="99"/>
    <w:rPr>
      <w:rFonts w:ascii="Cambria" w:hAnsi="Cambria" w:eastAsia="MS ??" w:cs="Cambria"/>
      <w:b/>
      <w:bCs/>
      <w:sz w:val="20"/>
      <w:szCs w:val="20"/>
    </w:rPr>
  </w:style>
  <w:style w:type="character" w:customStyle="1" w:styleId="29">
    <w:name w:val="Balloon Text Char"/>
    <w:basedOn w:val="18"/>
    <w:link w:val="11"/>
    <w:semiHidden/>
    <w:uiPriority w:val="99"/>
    <w:rPr>
      <w:rFonts w:ascii="Tahoma" w:hAnsi="Tahoma" w:eastAsia="MS ??" w:cs="Tahoma"/>
      <w:sz w:val="16"/>
      <w:szCs w:val="16"/>
    </w:rPr>
  </w:style>
  <w:style w:type="character" w:customStyle="1" w:styleId="30">
    <w:name w:val="Heading 1 Char"/>
    <w:basedOn w:val="18"/>
    <w:link w:val="2"/>
    <w:uiPriority w:val="9"/>
    <w:rPr>
      <w:rFonts w:asciiTheme="majorHAnsi" w:hAnsiTheme="majorHAnsi" w:eastAsiaTheme="majorEastAsia" w:cstheme="majorBidi"/>
      <w:b/>
      <w:bCs/>
      <w:color w:val="376092" w:themeColor="accent1" w:themeShade="BF"/>
      <w:sz w:val="28"/>
      <w:szCs w:val="28"/>
    </w:rPr>
  </w:style>
  <w:style w:type="character" w:customStyle="1" w:styleId="31">
    <w:name w:val="Unresolved Mention1"/>
    <w:basedOn w:val="18"/>
    <w:unhideWhenUsed/>
    <w:uiPriority w:val="99"/>
    <w:rPr>
      <w:color w:val="808080"/>
      <w:shd w:val="clear" w:color="auto" w:fill="E6E6E6"/>
    </w:rPr>
  </w:style>
  <w:style w:type="character" w:customStyle="1" w:styleId="32">
    <w:name w:val="apple-converted-space"/>
    <w:basedOn w:val="18"/>
    <w:uiPriority w:val="0"/>
  </w:style>
  <w:style w:type="character" w:customStyle="1" w:styleId="33">
    <w:name w:val="Unresolved Mention2"/>
    <w:basedOn w:val="18"/>
    <w:unhideWhenUsed/>
    <w:uiPriority w:val="99"/>
    <w:rPr>
      <w:color w:val="605E5C"/>
      <w:shd w:val="clear" w:color="auto" w:fill="E1DFDD"/>
    </w:rPr>
  </w:style>
  <w:style w:type="character" w:customStyle="1" w:styleId="34">
    <w:name w:val="bk_cite_avail"/>
    <w:basedOn w:val="18"/>
    <w:qFormat/>
    <w:uiPriority w:val="0"/>
  </w:style>
  <w:style w:type="character" w:customStyle="1" w:styleId="35">
    <w:name w:val="Heading 3 Char"/>
    <w:basedOn w:val="18"/>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6">
    <w:name w:val="Heading 4 Char"/>
    <w:basedOn w:val="18"/>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7">
    <w:name w:val="Heading 5 Char"/>
    <w:basedOn w:val="18"/>
    <w:link w:val="6"/>
    <w:uiPriority w:val="9"/>
    <w:rPr>
      <w:rFonts w:asciiTheme="majorHAnsi" w:hAnsiTheme="majorHAnsi" w:eastAsiaTheme="majorEastAsia" w:cstheme="majorBidi"/>
      <w:color w:val="254061" w:themeColor="accent1" w:themeShade="80"/>
    </w:rPr>
  </w:style>
  <w:style w:type="character" w:customStyle="1" w:styleId="38">
    <w:name w:val="Heading 6 Char"/>
    <w:basedOn w:val="18"/>
    <w:link w:val="7"/>
    <w:uiPriority w:val="9"/>
    <w:rPr>
      <w:rFonts w:asciiTheme="majorHAnsi" w:hAnsiTheme="majorHAnsi" w:eastAsiaTheme="majorEastAsia" w:cstheme="majorBidi"/>
      <w:i/>
      <w:iCs/>
      <w:color w:val="254061" w:themeColor="accent1" w:themeShade="80"/>
    </w:rPr>
  </w:style>
  <w:style w:type="character" w:customStyle="1" w:styleId="39">
    <w:name w:val="Heading 7 Char"/>
    <w:basedOn w:val="18"/>
    <w:link w:val="8"/>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40">
    <w:name w:val="Heading 8 Char"/>
    <w:basedOn w:val="18"/>
    <w:link w:val="9"/>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41">
    <w:name w:val="Heading 9 Char"/>
    <w:basedOn w:val="18"/>
    <w:link w:val="10"/>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2">
    <w:name w:val="Title Char"/>
    <w:basedOn w:val="18"/>
    <w:link w:val="17"/>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43">
    <w:name w:val="Subtitle Char"/>
    <w:basedOn w:val="18"/>
    <w:link w:val="1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44">
    <w:name w:val="No Spacing"/>
    <w:qFormat/>
    <w:uiPriority w:val="1"/>
    <w:pPr>
      <w:spacing w:after="0" w:line="240" w:lineRule="auto"/>
    </w:pPr>
    <w:rPr>
      <w:rFonts w:asciiTheme="minorHAnsi" w:hAnsiTheme="minorHAnsi" w:eastAsiaTheme="minorEastAsia" w:cstheme="minorBidi"/>
      <w:sz w:val="22"/>
      <w:szCs w:val="22"/>
      <w:lang w:val="en-US" w:eastAsia="en-US" w:bidi="en-US"/>
    </w:rPr>
  </w:style>
  <w:style w:type="paragraph" w:customStyle="1" w:styleId="45">
    <w:name w:val="Quote"/>
    <w:basedOn w:val="1"/>
    <w:next w:val="1"/>
    <w:link w:val="46"/>
    <w:qFormat/>
    <w:uiPriority w:val="29"/>
    <w:rPr>
      <w:i/>
      <w:iCs/>
      <w:color w:val="000000" w:themeColor="text1"/>
      <w14:textFill>
        <w14:solidFill>
          <w14:schemeClr w14:val="tx1"/>
        </w14:solidFill>
      </w14:textFill>
    </w:rPr>
  </w:style>
  <w:style w:type="character" w:customStyle="1" w:styleId="46">
    <w:name w:val="Quote Char"/>
    <w:basedOn w:val="18"/>
    <w:link w:val="45"/>
    <w:uiPriority w:val="29"/>
    <w:rPr>
      <w:i/>
      <w:iCs/>
      <w:color w:val="000000" w:themeColor="text1"/>
      <w14:textFill>
        <w14:solidFill>
          <w14:schemeClr w14:val="tx1"/>
        </w14:solidFill>
      </w14:textFill>
    </w:rPr>
  </w:style>
  <w:style w:type="paragraph" w:customStyle="1" w:styleId="47">
    <w:name w:val="Intense Quote"/>
    <w:basedOn w:val="1"/>
    <w:next w:val="1"/>
    <w:link w:val="4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8">
    <w:name w:val="Intense Quote Char"/>
    <w:basedOn w:val="18"/>
    <w:link w:val="47"/>
    <w:uiPriority w:val="30"/>
    <w:rPr>
      <w:b/>
      <w:bCs/>
      <w:i/>
      <w:iCs/>
      <w:color w:val="4F81BD" w:themeColor="accent1"/>
      <w14:textFill>
        <w14:solidFill>
          <w14:schemeClr w14:val="accent1"/>
        </w14:solidFill>
      </w14:textFill>
    </w:rPr>
  </w:style>
  <w:style w:type="character" w:customStyle="1" w:styleId="49">
    <w:name w:val="Subtle Emphasis"/>
    <w:basedOn w:val="18"/>
    <w:qFormat/>
    <w:uiPriority w:val="19"/>
    <w:rPr>
      <w:i/>
      <w:iCs/>
      <w:color w:val="808080" w:themeColor="text1" w:themeTint="80"/>
      <w14:textFill>
        <w14:solidFill>
          <w14:schemeClr w14:val="tx1">
            <w14:lumMod w14:val="50000"/>
            <w14:lumOff w14:val="50000"/>
          </w14:schemeClr>
        </w14:solidFill>
      </w14:textFill>
    </w:rPr>
  </w:style>
  <w:style w:type="character" w:customStyle="1" w:styleId="50">
    <w:name w:val="Intense Emphasis"/>
    <w:basedOn w:val="18"/>
    <w:qFormat/>
    <w:uiPriority w:val="21"/>
    <w:rPr>
      <w:b/>
      <w:bCs/>
      <w:i/>
      <w:iCs/>
      <w:color w:val="4F81BD" w:themeColor="accent1"/>
      <w14:textFill>
        <w14:solidFill>
          <w14:schemeClr w14:val="accent1"/>
        </w14:solidFill>
      </w14:textFill>
    </w:rPr>
  </w:style>
  <w:style w:type="character" w:customStyle="1" w:styleId="51">
    <w:name w:val="Subtle Reference"/>
    <w:basedOn w:val="18"/>
    <w:qFormat/>
    <w:uiPriority w:val="31"/>
    <w:rPr>
      <w:smallCaps/>
      <w:color w:val="C0504D" w:themeColor="accent2"/>
      <w:u w:val="single"/>
      <w14:textFill>
        <w14:solidFill>
          <w14:schemeClr w14:val="accent2"/>
        </w14:solidFill>
      </w14:textFill>
    </w:rPr>
  </w:style>
  <w:style w:type="character" w:customStyle="1" w:styleId="52">
    <w:name w:val="Intense Reference"/>
    <w:basedOn w:val="18"/>
    <w:qFormat/>
    <w:uiPriority w:val="32"/>
    <w:rPr>
      <w:b/>
      <w:bCs/>
      <w:smallCaps/>
      <w:color w:val="C0504D" w:themeColor="accent2"/>
      <w:spacing w:val="5"/>
      <w:u w:val="single"/>
      <w14:textFill>
        <w14:solidFill>
          <w14:schemeClr w14:val="accent2"/>
        </w14:solidFill>
      </w14:textFill>
    </w:rPr>
  </w:style>
  <w:style w:type="character" w:customStyle="1" w:styleId="53">
    <w:name w:val="Book Title"/>
    <w:basedOn w:val="18"/>
    <w:qFormat/>
    <w:uiPriority w:val="33"/>
    <w:rPr>
      <w:b/>
      <w:bCs/>
      <w:smallCaps/>
      <w:spacing w:val="5"/>
    </w:rPr>
  </w:style>
  <w:style w:type="paragraph" w:customStyle="1" w:styleId="54">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9B9E4-1D9C-40B8-A2A3-07F468FB4827}">
  <ds:schemaRefs/>
</ds:datastoreItem>
</file>

<file path=docProps/app.xml><?xml version="1.0" encoding="utf-8"?>
<Properties xmlns="http://schemas.openxmlformats.org/officeDocument/2006/extended-properties" xmlns:vt="http://schemas.openxmlformats.org/officeDocument/2006/docPropsVTypes">
  <Template>Normal.dotm</Template>
  <Company>PRI</Company>
  <Pages>7</Pages>
  <Words>1480</Words>
  <Characters>8437</Characters>
  <Lines>70</Lines>
  <Paragraphs>19</Paragraphs>
  <ScaleCrop>false</ScaleCrop>
  <LinksUpToDate>false</LinksUpToDate>
  <CharactersWithSpaces>9898</CharactersWithSpaces>
  <Application>WPS Office_10.1.0.5682_F1E327BC-269C-435d-A152-05C5408002CA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2021-02-22T03:36:00Z</dcterms:created>
  <dc:creator/>
  <cp:lastModifiedBy/>
  <dcterms:modified xsi:type="dcterms:W3CDTF">2021-02-22T03:45:55Z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1033-10.1.0.5682</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Unique User Id_1">
    <vt:lpwstr>479e695d-a591-37ff-a458-0955b67fe543</vt:lpwstr>
  </property>
</Properties>
</file>