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70" w:hanging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ind w:right="570" w:hanging="0"/>
        <w:rPr>
          <w:rFonts w:ascii="Cambria" w:hAnsi="Cambria" w:cs="Cambria"/>
          <w:b/>
          <w:b/>
          <w:sz w:val="36"/>
          <w:szCs w:val="36"/>
        </w:rPr>
      </w:pPr>
      <w:r>
        <w:rPr>
          <w:rFonts w:cs="Cambria" w:ascii="Cambria" w:hAnsi="Cambria"/>
          <w:b/>
          <w:sz w:val="36"/>
          <w:szCs w:val="36"/>
        </w:rPr>
        <w:t>Stage 2 Workplace Practices 2020</w:t>
      </w:r>
    </w:p>
    <w:p>
      <w:pPr>
        <w:pStyle w:val="Normal"/>
        <w:ind w:right="-28" w:hanging="0"/>
        <w:rPr>
          <w:rFonts w:ascii="Cambria" w:hAnsi="Cambria" w:cs="Cambria"/>
          <w:b/>
          <w:b/>
          <w:sz w:val="20"/>
          <w:szCs w:val="20"/>
        </w:rPr>
      </w:pPr>
      <w:r>
        <w:rPr>
          <w:rFonts w:cs="Cambria" w:ascii="Cambria" w:hAnsi="Cambria"/>
          <w:b/>
          <w:sz w:val="20"/>
          <w:szCs w:val="20"/>
        </w:rPr>
      </w:r>
    </w:p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46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525"/>
        <w:gridCol w:w="5942"/>
      </w:tblGrid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Task Description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Workplace Reflection</w:t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Assessment  Component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Reflection</w:t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Task 4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Learning Outcomes and Requirements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tabs>
                <w:tab w:val="left" w:pos="252" w:leader="none"/>
              </w:tabs>
              <w:ind w:left="252" w:hanging="18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Understand and explain concepts of industry and work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252" w:leader="none"/>
              </w:tabs>
              <w:ind w:left="252" w:hanging="180"/>
              <w:rPr/>
            </w:pPr>
            <w:r>
              <w:rPr>
                <w:rFonts w:cs="Arial"/>
                <w:color w:val="000000"/>
                <w:sz w:val="20"/>
                <w:szCs w:val="20"/>
              </w:rPr>
              <w:t>Analyse the relationships between work-related issues and practices in workplaces</w:t>
            </w:r>
          </w:p>
          <w:p>
            <w:pPr>
              <w:pStyle w:val="Normal"/>
              <w:numPr>
                <w:ilvl w:val="0"/>
                <w:numId w:val="5"/>
              </w:numPr>
              <w:tabs>
                <w:tab w:val="left" w:pos="252" w:leader="none"/>
              </w:tabs>
              <w:ind w:left="252" w:hanging="180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Reflect on and evaluate learning experiences in/about the workplace</w:t>
            </w:r>
          </w:p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cs="Arial"/>
                <w:b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mallCaps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28" w:hanging="0"/>
        <w:rPr>
          <w:b/>
          <w:b/>
          <w:szCs w:val="22"/>
        </w:rPr>
      </w:pPr>
      <w:r>
        <w:rPr>
          <w:b/>
          <w:szCs w:val="22"/>
        </w:rPr>
        <w:t xml:space="preserve">Purpose </w:t>
      </w:r>
    </w:p>
    <w:p>
      <w:pPr>
        <w:pStyle w:val="Normal"/>
        <w:ind w:right="-28" w:hanging="0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Normal"/>
        <w:ind w:right="-28" w:hanging="0"/>
        <w:rPr/>
      </w:pPr>
      <w:r>
        <w:rPr>
          <w:szCs w:val="22"/>
        </w:rPr>
        <w:t>This task enables you to reflect on and evaluate your learning experiences as a result of undertaking vocational learning in a workplace.</w:t>
      </w:r>
    </w:p>
    <w:p>
      <w:pPr>
        <w:pStyle w:val="Normal"/>
        <w:ind w:right="-2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2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28" w:hanging="0"/>
        <w:rPr>
          <w:b/>
          <w:b/>
          <w:szCs w:val="22"/>
        </w:rPr>
      </w:pPr>
      <w:r>
        <w:rPr>
          <w:b/>
          <w:szCs w:val="22"/>
        </w:rPr>
        <w:t xml:space="preserve">Description of assessment </w:t>
      </w:r>
    </w:p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2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28" w:hanging="0"/>
        <w:rPr/>
      </w:pPr>
      <w:r>
        <w:rPr>
          <w:szCs w:val="22"/>
        </w:rPr>
        <w:t>You prepare a report to review and reflect on your vocational learning experience in a workplace. Your report should demonstrate your knowledge and understanding of practices in the workplace, workplace conditions and workplace cultures, and draw from your own practical experiences in a workplace.</w:t>
      </w:r>
    </w:p>
    <w:p>
      <w:pPr>
        <w:pStyle w:val="Normal"/>
        <w:ind w:right="-28" w:hanging="0"/>
        <w:rPr>
          <w:szCs w:val="22"/>
        </w:rPr>
      </w:pPr>
      <w:r>
        <w:rPr>
          <w:szCs w:val="22"/>
        </w:rPr>
      </w:r>
    </w:p>
    <w:p>
      <w:pPr>
        <w:pStyle w:val="Normal"/>
        <w:ind w:right="-28" w:hanging="0"/>
        <w:rPr>
          <w:szCs w:val="22"/>
        </w:rPr>
      </w:pPr>
      <w:r>
        <w:rPr>
          <w:szCs w:val="22"/>
        </w:rPr>
        <w:t>You might like to use the following questions to guide your review and reflection:</w:t>
      </w:r>
    </w:p>
    <w:p>
      <w:pPr>
        <w:pStyle w:val="Normal"/>
        <w:ind w:right="-28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720" w:right="-28" w:hanging="360"/>
        <w:rPr>
          <w:szCs w:val="22"/>
        </w:rPr>
      </w:pPr>
      <w:r>
        <w:rPr>
          <w:szCs w:val="22"/>
        </w:rPr>
        <w:t>W</w:t>
      </w:r>
      <w:r>
        <w:rPr>
          <w:szCs w:val="22"/>
        </w:rPr>
        <w:t>hat type of work activities / tasks did you complete during your work placement?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6520815</wp:posOffset>
                </wp:positionH>
                <wp:positionV relativeFrom="paragraph">
                  <wp:posOffset>197485</wp:posOffset>
                </wp:positionV>
                <wp:extent cx="238125" cy="10731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107315"/>
                        </a:xfrm>
                        <a:prstGeom prst="rect"/>
                        <a:solidFill>
                          <a:srgbClr val="99CC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9CCFF" style="position:absolute;rotation:0;width:18.75pt;height:8.45pt;mso-wrap-distance-left:9.05pt;mso-wrap-distance-right:9.05pt;mso-wrap-distance-top:0pt;mso-wrap-distance-bottom:0pt;margin-top:15.55pt;mso-position-vertical-relative:text;margin-left:513.4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720" w:right="-28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720" w:right="-28" w:hanging="360"/>
        <w:rPr/>
      </w:pPr>
      <w:r>
        <w:rPr>
          <w:szCs w:val="22"/>
        </w:rPr>
        <w:t>What did you observe regarding the following: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workplace practices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work environments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/>
      </w:pPr>
      <w:r>
        <w:rPr>
          <w:szCs w:val="22"/>
        </w:rPr>
        <w:t>work health &amp; safety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equal opportunity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communication in the workplace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conditions of work</w:t>
      </w:r>
    </w:p>
    <w:p>
      <w:pPr>
        <w:pStyle w:val="Normal"/>
        <w:numPr>
          <w:ilvl w:val="1"/>
          <w:numId w:val="4"/>
        </w:numPr>
        <w:spacing w:before="60" w:after="0"/>
        <w:ind w:left="1434" w:right="-28" w:hanging="357"/>
        <w:rPr>
          <w:szCs w:val="22"/>
        </w:rPr>
      </w:pPr>
      <w:r>
        <w:rPr>
          <w:szCs w:val="22"/>
        </w:rPr>
        <w:t>culture and values of the workplace?</w:t>
      </w:r>
    </w:p>
    <w:p>
      <w:pPr>
        <w:pStyle w:val="Normal"/>
        <w:ind w:right="-28" w:hanging="0"/>
        <w:rPr>
          <w:szCs w:val="22"/>
        </w:rPr>
      </w:pPr>
      <w:r>
        <w:rPr>
          <w:szCs w:val="22"/>
        </w:rPr>
      </w:r>
    </w:p>
    <w:p>
      <w:pPr>
        <w:pStyle w:val="Normal"/>
        <w:ind w:right="-28" w:hanging="0"/>
        <w:rPr/>
      </w:pPr>
      <w:r>
        <w:rPr>
          <w:szCs w:val="22"/>
        </w:rPr>
        <w:t>Ensure you express your own opinions about different routines and procedures that you either observed or participated in during your time in the workplace.</w:t>
      </w:r>
    </w:p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28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right="-28" w:hanging="0"/>
        <w:rPr>
          <w:b/>
          <w:b/>
          <w:szCs w:val="22"/>
        </w:rPr>
      </w:pPr>
      <w:r>
        <w:rPr>
          <w:b/>
          <w:szCs w:val="22"/>
        </w:rPr>
        <w:t>A</w:t>
      </w:r>
      <w:r>
        <w:rPr>
          <w:b/>
          <w:szCs w:val="22"/>
        </w:rPr>
        <w:t xml:space="preserve">ssessment conditions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6520815</wp:posOffset>
                </wp:positionH>
                <wp:positionV relativeFrom="paragraph">
                  <wp:posOffset>126365</wp:posOffset>
                </wp:positionV>
                <wp:extent cx="1143000" cy="22415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24155"/>
                        </a:xfrm>
                        <a:prstGeom prst="rect"/>
                        <a:solidFill>
                          <a:srgbClr val="99CC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anchor="t" lIns="92075" tIns="46355" rIns="92075" bIns="4635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99CCFF" style="position:absolute;rotation:0;width:90pt;height:17.65pt;mso-wrap-distance-left:9.05pt;mso-wrap-distance-right:9.05pt;mso-wrap-distance-top:0pt;mso-wrap-distance-bottom:0pt;margin-top:9.95pt;mso-position-vertical-relative:text;margin-left:513.4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rPr>
          <w:bCs/>
          <w:szCs w:val="22"/>
        </w:rPr>
      </w:pPr>
      <w:r>
        <w:rPr>
          <w:bCs/>
          <w:szCs w:val="22"/>
        </w:rPr>
        <w:t>The reflection may be presented in written, oral (e.g. interview or oral presentation), or multimodal form.  Multimodal forms should include an oral presentation supported by evidence such as photographs and/or a video or PowerPoint presentation</w:t>
      </w:r>
    </w:p>
    <w:p>
      <w:pPr>
        <w:pStyle w:val="Normal"/>
        <w:rPr>
          <w:bCs/>
          <w:szCs w:val="22"/>
        </w:rPr>
      </w:pPr>
      <w:r>
        <w:rPr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  <w:bCs/>
          <w:szCs w:val="22"/>
        </w:rPr>
      </w:pPr>
      <w:r>
        <w:rPr>
          <w:b/>
          <w:bCs/>
          <w:szCs w:val="22"/>
        </w:rPr>
      </w:r>
    </w:p>
    <w:p>
      <w:pPr>
        <w:pStyle w:val="Normal"/>
        <w:ind w:hanging="798"/>
        <w:rPr>
          <w:b/>
          <w:b/>
        </w:rPr>
      </w:pPr>
      <w:r>
        <w:rPr>
          <w:b/>
        </w:rPr>
        <w:t>Performance Standards for Stage 2 Workplace Practices Workplace Reflection</w:t>
      </w:r>
    </w:p>
    <w:tbl>
      <w:tblPr>
        <w:tblW w:w="1081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85" w:type="dxa"/>
          <w:left w:w="82" w:type="dxa"/>
          <w:bottom w:w="85" w:type="dxa"/>
          <w:right w:w="85" w:type="dxa"/>
        </w:tblCellMar>
      </w:tblPr>
      <w:tblGrid>
        <w:gridCol w:w="484"/>
        <w:gridCol w:w="2431"/>
        <w:gridCol w:w="3108"/>
        <w:gridCol w:w="2805"/>
        <w:gridCol w:w="1991"/>
      </w:tblGrid>
      <w:tr>
        <w:trPr>
          <w:tblHeader w:val="true"/>
          <w:cantSplit w:val="true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4C4C4C" w:val="clear"/>
          </w:tcPr>
          <w:p>
            <w:pPr>
              <w:pStyle w:val="Normal"/>
              <w:snapToGrid w:val="false"/>
              <w:rPr>
                <w:rFonts w:eastAsia="SimSun;宋体"/>
              </w:rPr>
            </w:pPr>
            <w:r>
              <w:rPr>
                <w:rFonts w:eastAsia="SimSun;宋体"/>
              </w:rPr>
            </w:r>
          </w:p>
        </w:tc>
        <w:tc>
          <w:tcPr>
            <w:tcW w:w="2431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4C4C4C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OFinalPerformanceTableHead1"/>
              <w:jc w:val="center"/>
              <w:rPr/>
            </w:pPr>
            <w:r>
              <w:rPr/>
              <w:t>Knowledge and Understanding</w:t>
            </w:r>
          </w:p>
        </w:tc>
        <w:tc>
          <w:tcPr>
            <w:tcW w:w="3108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4C4C4C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OFinalPerformanceTableHead1"/>
              <w:jc w:val="center"/>
              <w:rPr>
                <w:color w:val="C0C0C0"/>
              </w:rPr>
            </w:pPr>
            <w:r>
              <w:rPr>
                <w:color w:val="C0C0C0"/>
              </w:rPr>
              <w:t>Application</w:t>
            </w:r>
          </w:p>
        </w:tc>
        <w:tc>
          <w:tcPr>
            <w:tcW w:w="2805" w:type="dxa"/>
            <w:tcBorders>
              <w:top w:val="single" w:sz="2" w:space="0" w:color="000000"/>
              <w:bottom w:val="single" w:sz="2" w:space="0" w:color="000000"/>
              <w:insideH w:val="single" w:sz="2" w:space="0" w:color="000000"/>
            </w:tcBorders>
            <w:shd w:fill="4C4C4C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OFinalPerformanceTableHead1"/>
              <w:jc w:val="center"/>
              <w:rPr/>
            </w:pPr>
            <w:r>
              <w:rPr/>
              <w:t>Investigation and Analysis</w:t>
            </w:r>
          </w:p>
        </w:tc>
        <w:tc>
          <w:tcPr>
            <w:tcW w:w="199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4C4C4C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OFinalPerformanceTableHead1"/>
              <w:jc w:val="center"/>
              <w:rPr/>
            </w:pPr>
            <w:r>
              <w:rPr/>
              <w:t>Reflection and Evaluation</w:t>
            </w:r>
          </w:p>
        </w:tc>
      </w:tr>
      <w:tr>
        <w:trPr>
          <w:cantSplit w:val="true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SOFinalPerformanceTableLetters"/>
              <w:widowControl/>
              <w:spacing w:before="120" w:after="0"/>
              <w:jc w:val="center"/>
              <w:rPr/>
            </w:pPr>
            <w:r>
              <w:rPr/>
              <w:t>A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>Comprehensive understanding at an advanced level of knowledge, skills, and competencies appropriate to the relevant industry.</w:t>
            </w:r>
          </w:p>
          <w:p>
            <w:pPr>
              <w:pStyle w:val="SOFinalPerformanceTableText"/>
              <w:rPr/>
            </w:pPr>
            <w:r>
              <w:rPr/>
              <w:t>Perceptive understanding and insightful explanation of broad concepts and issues related to industry and work.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999999"/>
              </w:rPr>
              <w:t>Highly proficient and innovative application of a range of generic work skills and, where relevant, extensive industry knowledge in the workplace or a work-related context.</w:t>
            </w:r>
          </w:p>
          <w:p>
            <w:pPr>
              <w:pStyle w:val="SOFinalPerformanceTableText"/>
              <w:rPr>
                <w:color w:val="999999"/>
              </w:rPr>
            </w:pPr>
            <w:r>
              <w:rPr>
                <w:color w:val="999999"/>
              </w:rPr>
              <w:t>Perceptive application of highly relevant knowledge and skills in the context of an industry workplace.</w:t>
            </w:r>
          </w:p>
          <w:p>
            <w:pPr>
              <w:pStyle w:val="SOFinalPerformanceTableText"/>
              <w:rPr/>
            </w:pPr>
            <w:r>
              <w:rPr>
                <w:i/>
                <w:iCs/>
                <w:color w:val="999999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>Perceptive and well-informed analysis of the relationships between a range of work-related issues, tasks, and practices in the workplace.</w:t>
            </w:r>
          </w:p>
          <w:p>
            <w:pPr>
              <w:pStyle w:val="SOFinalPerformanceTableText"/>
              <w:rPr/>
            </w:pPr>
            <w:r>
              <w:rPr>
                <w:color w:val="DBE5F1"/>
              </w:rPr>
              <w:t>Thorough, detailed, and well-informed investigation of the dynamic nature of a range of work-related and workplace issues, tasks, cultures, and/or environments locally, nationally, and/or globally.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/>
              <w:t>Thorough and insightful reflection on a range of learning experiences in/about an industry, with in-depth self-evaluation.</w:t>
            </w:r>
          </w:p>
        </w:tc>
      </w:tr>
      <w:tr>
        <w:trPr>
          <w:cantSplit w:val="true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SOFinalPerformanceTableLetters"/>
              <w:widowControl/>
              <w:spacing w:before="120" w:after="0"/>
              <w:jc w:val="center"/>
              <w:rPr/>
            </w:pPr>
            <w:r>
              <w:rPr/>
              <w:t>B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spacing w:before="120" w:after="0"/>
              <w:rPr>
                <w:color w:val="DBE5F1"/>
              </w:rPr>
            </w:pPr>
            <w:r>
              <w:rPr>
                <w:color w:val="DBE5F1"/>
              </w:rPr>
              <w:t>Well-informed understanding of knowledge, skills, and competencies appropriate to the relevant industry.</w:t>
            </w:r>
          </w:p>
          <w:p>
            <w:pPr>
              <w:pStyle w:val="SOFinalPerformanceTableText"/>
              <w:rPr/>
            </w:pPr>
            <w:r>
              <w:rPr/>
              <w:t>Clear understanding and well-informed explanation of broad concepts and issues related to industry and work.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999999"/>
              </w:rPr>
              <w:t>Proficient application of a range of generic work skills and, where relevant, broad industry knowledge in the workplace or a work-related context.</w:t>
            </w:r>
          </w:p>
          <w:p>
            <w:pPr>
              <w:pStyle w:val="SOFinalPerformanceTableText"/>
              <w:rPr>
                <w:color w:val="999999"/>
              </w:rPr>
            </w:pPr>
            <w:r>
              <w:rPr>
                <w:color w:val="999999"/>
              </w:rPr>
              <w:t>Well-considered application of relevant knowledge and skills in the context of an industry workplace.</w:t>
            </w:r>
          </w:p>
          <w:p>
            <w:pPr>
              <w:pStyle w:val="SOFinalPerformanceTableText"/>
              <w:rPr/>
            </w:pPr>
            <w:r>
              <w:rPr>
                <w:i/>
                <w:iCs/>
                <w:color w:val="999999"/>
              </w:rPr>
              <w:t>Where VET is included, units of competency must have been successfully achieved; the student must have demonstrated competency as assessed by the relevant RTO.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 xml:space="preserve">Well-informed analysis of the relationships between a range of work-related issues, tasks, and practices in the workplace. </w:t>
            </w:r>
          </w:p>
          <w:p>
            <w:pPr>
              <w:pStyle w:val="SOFinalPerformanceTableText"/>
              <w:rPr/>
            </w:pPr>
            <w:r>
              <w:rPr>
                <w:color w:val="DBE5F1"/>
              </w:rPr>
              <w:t>Detailed and informed investigation of the dynamic nature of a number of work-related and workplace issues, tasks, cultures, and/or environments locally, nationally, and/or globally.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/>
              <w:t>Detailed and considered reflection on a number of learning experiences in/about an industry, with some in-depth self-evaluation.</w:t>
            </w:r>
          </w:p>
        </w:tc>
      </w:tr>
      <w:tr>
        <w:trPr>
          <w:cantSplit w:val="true"/>
        </w:trPr>
        <w:tc>
          <w:tcPr>
            <w:tcW w:w="4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SOFinalPerformanceTableLetters"/>
              <w:widowControl/>
              <w:spacing w:before="120" w:after="0"/>
              <w:jc w:val="center"/>
              <w:rPr/>
            </w:pPr>
            <w:r>
              <w:rPr/>
              <w:t>C</w:t>
            </w:r>
          </w:p>
        </w:tc>
        <w:tc>
          <w:tcPr>
            <w:tcW w:w="243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spacing w:before="120" w:after="0"/>
              <w:rPr>
                <w:color w:val="DBE5F1"/>
              </w:rPr>
            </w:pPr>
            <w:r>
              <w:rPr>
                <w:color w:val="DBE5F1"/>
              </w:rPr>
              <w:t>Informed understanding of knowledge, skills, and competencies appropriate to the relevant industry.</w:t>
            </w:r>
          </w:p>
          <w:p>
            <w:pPr>
              <w:pStyle w:val="SOFinalPerformanceTableText"/>
              <w:rPr/>
            </w:pPr>
            <w:r>
              <w:rPr/>
              <w:t xml:space="preserve">General understanding and informed explanation of broad concepts and issues related to industry and work. </w:t>
            </w:r>
          </w:p>
        </w:tc>
        <w:tc>
          <w:tcPr>
            <w:tcW w:w="31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spacing w:before="120" w:after="0"/>
              <w:rPr>
                <w:color w:val="999999"/>
              </w:rPr>
            </w:pPr>
            <w:r>
              <w:rPr>
                <w:color w:val="999999"/>
              </w:rPr>
              <w:t>Appropriate application of selected generic work skills and, where relevant, industry knowledge in the workplace or a work-related context.</w:t>
            </w:r>
          </w:p>
          <w:p>
            <w:pPr>
              <w:pStyle w:val="SOFinalPerformanceTableText"/>
              <w:rPr/>
            </w:pPr>
            <w:r>
              <w:rPr>
                <w:color w:val="999999"/>
              </w:rPr>
              <w:t>Considered application of most of the relevant knowledge and skills in the context of an industry workplace.</w:t>
            </w:r>
          </w:p>
          <w:p>
            <w:pPr>
              <w:pStyle w:val="SOFinalPerformanceTableText"/>
              <w:rPr>
                <w:i/>
                <w:i/>
                <w:iCs/>
                <w:color w:val="999999"/>
              </w:rPr>
            </w:pPr>
            <w:r>
              <w:rPr>
                <w:i/>
                <w:iCs/>
                <w:color w:val="999999"/>
              </w:rPr>
              <w:t>Where VET is included, units of competency may have been successfully achieved; the student may have demonstrated competency as assessed by the relevant RTO.</w:t>
            </w:r>
          </w:p>
        </w:tc>
        <w:tc>
          <w:tcPr>
            <w:tcW w:w="280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>Informed analysis of the relationships between a number of work-related issues, tasks, and practices in the workplace.</w:t>
            </w:r>
          </w:p>
          <w:p>
            <w:pPr>
              <w:pStyle w:val="SOFinalPerformanceTableText"/>
              <w:rPr/>
            </w:pPr>
            <w:r>
              <w:rPr>
                <w:color w:val="DBE5F1"/>
              </w:rPr>
              <w:t>Informed investigation of the dynamic nature of some work-related and workplace issues, tasks, cultures, and/or environments locally, nationally, and/or globally.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/>
              <w:t>Some considered reflection on learning experiences in/about an industry, with some self-evaluation.</w:t>
            </w:r>
          </w:p>
        </w:tc>
      </w:tr>
      <w:tr>
        <w:trPr>
          <w:cantSplit w:val="true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SOFinalPerformanceTableLetters"/>
              <w:widowControl/>
              <w:spacing w:before="120" w:after="0"/>
              <w:jc w:val="center"/>
              <w:rPr/>
            </w:pPr>
            <w:r>
              <w:rPr/>
              <w:t>D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spacing w:before="120" w:after="0"/>
              <w:rPr>
                <w:color w:val="DBE5F1"/>
              </w:rPr>
            </w:pPr>
            <w:r>
              <w:rPr>
                <w:color w:val="DBE5F1"/>
              </w:rPr>
              <w:t>Recognition of knowledge, skills, and/or competencies appropriate to the relevant industry.</w:t>
            </w:r>
          </w:p>
          <w:p>
            <w:pPr>
              <w:pStyle w:val="SOFinalPerformanceTableText"/>
              <w:rPr/>
            </w:pPr>
            <w:r>
              <w:rPr/>
              <w:t>Some understanding and description of aspects of broad concepts and issues related to industry or work.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999999"/>
              </w:rPr>
              <w:t>Attempted application of selected generic work skills or, where relevant, some industry knowledge in the workplace or a work-related context.</w:t>
            </w:r>
          </w:p>
          <w:p>
            <w:pPr>
              <w:pStyle w:val="SOFinalPerformanceTableText"/>
              <w:rPr>
                <w:color w:val="999999"/>
              </w:rPr>
            </w:pPr>
            <w:r>
              <w:rPr>
                <w:color w:val="999999"/>
              </w:rPr>
              <w:t>Attempted application of some knowledge and skills in the context of an industry workplace.</w:t>
            </w:r>
          </w:p>
          <w:p>
            <w:pPr>
              <w:pStyle w:val="SOFinalPerformanceTableText"/>
              <w:rPr>
                <w:color w:val="999999"/>
              </w:rPr>
            </w:pPr>
            <w:r>
              <w:rPr>
                <w:i/>
                <w:iCs/>
                <w:color w:val="999999"/>
              </w:rPr>
              <w:t>Where VET is included, units of competency may have been successfully achieved; the student may have demonstrated aspects of competency as assessed by the relevant RTO.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>Description of the relationship between some aspects of work-related issues, tasks, or practices in the workplace.</w:t>
            </w:r>
          </w:p>
          <w:p>
            <w:pPr>
              <w:pStyle w:val="SOFinalPerformanceTableText"/>
              <w:rPr/>
            </w:pPr>
            <w:r>
              <w:rPr>
                <w:color w:val="DBE5F1"/>
              </w:rPr>
              <w:t>Attempted investigation of some aspects of the nature of work-related and/or workplace issues, tasks, cultures, or environments.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/>
              <w:t>Some reflective description and attempted evaluation of learning experiences in/about an industry.</w:t>
            </w:r>
          </w:p>
        </w:tc>
      </w:tr>
      <w:tr>
        <w:trPr>
          <w:cantSplit w:val="true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9D9D9" w:val="clear"/>
            <w:tcMar>
              <w:top w:w="0" w:type="dxa"/>
            </w:tcMar>
          </w:tcPr>
          <w:p>
            <w:pPr>
              <w:pStyle w:val="SOFinalPerformanceTableLetters"/>
              <w:widowControl/>
              <w:spacing w:before="120" w:after="0"/>
              <w:jc w:val="center"/>
              <w:rPr/>
            </w:pPr>
            <w:r>
              <w:rPr/>
              <w:t>E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>Limited recognition of knowledge, skills, or competencies appropriate to the relevant industry.</w:t>
            </w:r>
          </w:p>
          <w:p>
            <w:pPr>
              <w:pStyle w:val="SOFinalPerformanceTableText"/>
              <w:rPr/>
            </w:pPr>
            <w:r>
              <w:rPr/>
              <w:t>Recall of some aspects of broad concepts or issues related to industry or work.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999999"/>
              </w:rPr>
              <w:t>Attempted application of one or more generic work skills or, where relevant, limited industry knowledge in the workplace or a work-related context.</w:t>
            </w:r>
          </w:p>
          <w:p>
            <w:pPr>
              <w:pStyle w:val="SOFinalPerformanceTableText"/>
              <w:rPr>
                <w:color w:val="999999"/>
              </w:rPr>
            </w:pPr>
            <w:r>
              <w:rPr>
                <w:color w:val="999999"/>
              </w:rPr>
              <w:t>Identification of limited knowledge and skills in the context of an industry workplace.</w:t>
            </w:r>
          </w:p>
          <w:p>
            <w:pPr>
              <w:pStyle w:val="SOFinalPerformanceTableText"/>
              <w:rPr/>
            </w:pPr>
            <w:r>
              <w:rPr>
                <w:i/>
                <w:iCs/>
                <w:color w:val="999999"/>
              </w:rPr>
              <w:t>Where VET is included, units of competency may have been successfully achieved; the student may have demonstrated limited aspects of competency as assessed by the relevant RTO.</w:t>
            </w:r>
          </w:p>
        </w:tc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>
                <w:color w:val="DBE5F1"/>
              </w:rPr>
              <w:t xml:space="preserve">Identification and attempted description of one or more work-related issues. </w:t>
            </w:r>
          </w:p>
          <w:p>
            <w:pPr>
              <w:pStyle w:val="SOFinalPerformanceTableText"/>
              <w:rPr>
                <w:color w:val="DBE5F1"/>
              </w:rPr>
            </w:pPr>
            <w:r>
              <w:rPr>
                <w:color w:val="DBE5F1"/>
              </w:rPr>
              <w:t>Emerging recognition of one or more aspects of the nature of work-related or workplace issues or environments.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105" w:type="dxa"/>
              <w:bottom w:w="0" w:type="dxa"/>
              <w:right w:w="108" w:type="dxa"/>
            </w:tcMar>
          </w:tcPr>
          <w:p>
            <w:pPr>
              <w:pStyle w:val="SOFinalPerformanceTableText"/>
              <w:widowControl/>
              <w:spacing w:before="120" w:after="0"/>
              <w:rPr/>
            </w:pPr>
            <w:r>
              <w:rPr/>
              <w:t>Recall of some learning experiences in/about an industry.</w:t>
            </w:r>
          </w:p>
        </w:tc>
      </w:tr>
    </w:tbl>
    <w:p>
      <w:pPr>
        <w:pStyle w:val="Normal"/>
        <w:ind w:left="-187" w:hanging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ind w:left="-187" w:hanging="0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ind w:left="-187" w:hanging="0"/>
        <w:rPr>
          <w:sz w:val="20"/>
          <w:szCs w:val="20"/>
          <w:lang w:val="en-US" w:eastAsia="en-US"/>
        </w:rPr>
      </w:pPr>
      <w:r>
        <w:rPr>
          <w:sz w:val="20"/>
          <w:szCs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-429260</wp:posOffset>
                </wp:positionH>
                <wp:positionV relativeFrom="paragraph">
                  <wp:posOffset>75565</wp:posOffset>
                </wp:positionV>
                <wp:extent cx="257810" cy="27686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0" cy="2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-33.8pt;margin-top:5.95pt;width:20.2pt;height:21.7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ind w:left="-187" w:hanging="0"/>
        <w:rPr>
          <w:b/>
          <w:b/>
          <w:sz w:val="24"/>
        </w:rPr>
      </w:pPr>
      <w:r>
        <w:rPr>
          <w:b/>
          <w:sz w:val="24"/>
        </w:rPr>
        <w:t>Overall Grade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sectPr>
      <w:type w:val="nextPage"/>
      <w:pgSz w:w="11906" w:h="16838"/>
      <w:pgMar w:left="1531" w:right="1134" w:header="0" w:top="899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Symbol">
    <w:charset w:val="00"/>
    <w:family w:val="decorative"/>
    <w:pitch w:val="variable"/>
  </w:font>
  <w:font w:name="Arial Narrow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Cs w:val="22"/>
        <w:rFonts w:cs="Symbol"/>
      </w:rPr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i w:val="false"/>
        <w:b w:val="false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Cs w:val="22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Cs w:val="22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Cs w:val="22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Symbo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5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 Sharp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2"/>
      <w:szCs w:val="24"/>
      <w:lang w:val="en-AU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WW8Num1z0">
    <w:name w:val="WW8Num1z0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sz w:val="20"/>
      <w:szCs w:val="20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Wingdings" w:hAnsi="Wingdings" w:cs="Wingdings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Cs w:val="22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b w:val="false"/>
      <w:i w:val="false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  <w:szCs w:val="22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Wingdings" w:hAnsi="Wingdings" w:cs="Wingdings"/>
      <w:sz w:val="24"/>
    </w:rPr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  <w:color w:val="000000"/>
      <w:sz w:val="20"/>
      <w:szCs w:val="2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SOFinalBodyTextCharChar">
    <w:name w:val="SO Final Body Text Char Char"/>
    <w:qFormat/>
    <w:rPr>
      <w:rFonts w:ascii="Arial" w:hAnsi="Arial" w:cs="Arial"/>
      <w:color w:val="000000"/>
      <w:szCs w:val="24"/>
      <w:lang w:val="en-US" w:bidi="ar-SA"/>
    </w:rPr>
  </w:style>
  <w:style w:type="character" w:styleId="SOFinalHead3CharChar">
    <w:name w:val="SO Final Head 3 Char Char"/>
    <w:qFormat/>
    <w:rPr>
      <w:rFonts w:ascii="Arial Narrow" w:hAnsi="Arial Narrow" w:cs="Arial Narrow"/>
      <w:b/>
      <w:color w:val="000000"/>
      <w:sz w:val="28"/>
      <w:szCs w:val="24"/>
      <w:lang w:val="en-US" w:bidi="ar-SA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Bullets">
    <w:name w:val="Bullets"/>
    <w:qFormat/>
    <w:pPr>
      <w:widowControl/>
      <w:tabs>
        <w:tab w:val="left" w:pos="558" w:leader="none"/>
      </w:tabs>
      <w:ind w:left="558" w:hanging="561"/>
    </w:pPr>
    <w:rPr>
      <w:rFonts w:ascii="Arial" w:hAnsi="Arial" w:eastAsia="Times New Roman" w:cs="Arial"/>
      <w:color w:val="000000"/>
      <w:sz w:val="20"/>
      <w:szCs w:val="24"/>
      <w:lang w:val="en-US" w:bidi="ar-SA" w:eastAsia="zh-CN"/>
    </w:rPr>
  </w:style>
  <w:style w:type="paragraph" w:styleId="Footnote">
    <w:name w:val="Footnote Text"/>
    <w:basedOn w:val="Normal"/>
    <w:pPr>
      <w:spacing w:before="160" w:after="12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qFormat/>
    <w:pPr>
      <w:spacing w:before="0" w:after="120"/>
      <w:ind w:left="1440" w:right="1440" w:hanging="0"/>
    </w:pPr>
    <w:rPr/>
  </w:style>
  <w:style w:type="paragraph" w:styleId="Numberedpara">
    <w:name w:val="numbered para"/>
    <w:basedOn w:val="BlockText"/>
    <w:qFormat/>
    <w:pPr>
      <w:numPr>
        <w:ilvl w:val="0"/>
        <w:numId w:val="3"/>
      </w:numPr>
      <w:spacing w:before="120" w:after="0"/>
      <w:ind w:left="1440" w:right="0" w:hanging="0"/>
    </w:pPr>
    <w:rPr>
      <w:rFonts w:ascii="Times New Roman" w:hAnsi="Times New Roman" w:cs="Times New Roman"/>
      <w:szCs w:val="20"/>
    </w:rPr>
  </w:style>
  <w:style w:type="paragraph" w:styleId="TextBodyIndent">
    <w:name w:val="Body Text Indent"/>
    <w:basedOn w:val="Normal"/>
    <w:pPr>
      <w:autoSpaceDE w:val="false"/>
      <w:ind w:left="360" w:hanging="0"/>
    </w:pPr>
    <w:rPr>
      <w:rFonts w:cs="Arial"/>
      <w:sz w:val="16"/>
      <w:szCs w:val="22"/>
      <w:lang w:val="en-US"/>
    </w:rPr>
  </w:style>
  <w:style w:type="paragraph" w:styleId="Headingbbcentered">
    <w:name w:val="heading bb centered"/>
    <w:basedOn w:val="Normal"/>
    <w:qFormat/>
    <w:pPr>
      <w:spacing w:lineRule="atLeast" w:line="230" w:before="480" w:after="0"/>
      <w:jc w:val="center"/>
    </w:pPr>
    <w:rPr>
      <w:rFonts w:ascii="Helvetica" w:hAnsi="Helvetica" w:cs="Helvetica"/>
      <w:b/>
      <w:sz w:val="28"/>
      <w:szCs w:val="20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</w:pPr>
    <w:rPr/>
  </w:style>
  <w:style w:type="paragraph" w:styleId="Contents3">
    <w:name w:val="TOC 3"/>
    <w:basedOn w:val="Normal"/>
    <w:next w:val="Normal"/>
    <w:pPr>
      <w:ind w:left="440" w:hanging="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SOFinalNumbering">
    <w:name w:val="SO Final Numbering"/>
    <w:qFormat/>
    <w:pPr>
      <w:widowControl/>
      <w:spacing w:before="60" w:after="0"/>
      <w:ind w:left="284" w:hanging="284"/>
    </w:pPr>
    <w:rPr>
      <w:rFonts w:ascii="Arial" w:hAnsi="Arial" w:eastAsia="Times New Roman" w:cs="Arial"/>
      <w:color w:val="000000"/>
      <w:sz w:val="20"/>
      <w:szCs w:val="24"/>
      <w:lang w:val="en-US" w:bidi="ar-SA" w:eastAsia="zh-CN"/>
    </w:rPr>
  </w:style>
  <w:style w:type="paragraph" w:styleId="SOFinalBodyText">
    <w:name w:val="SO Final Body Text"/>
    <w:qFormat/>
    <w:pPr>
      <w:widowControl/>
      <w:spacing w:before="120" w:after="0"/>
    </w:pPr>
    <w:rPr>
      <w:rFonts w:ascii="Arial" w:hAnsi="Arial" w:eastAsia="Times New Roman" w:cs="Arial"/>
      <w:color w:val="000000"/>
      <w:sz w:val="20"/>
      <w:szCs w:val="24"/>
      <w:lang w:val="en-US" w:bidi="ar-SA" w:eastAsia="zh-CN"/>
    </w:rPr>
  </w:style>
  <w:style w:type="paragraph" w:styleId="SOFinalHead3">
    <w:name w:val="SO Final Head 3"/>
    <w:qFormat/>
    <w:pPr>
      <w:widowControl/>
      <w:spacing w:before="360" w:after="0"/>
    </w:pPr>
    <w:rPr>
      <w:rFonts w:ascii="Arial Narrow" w:hAnsi="Arial Narrow" w:eastAsia="Times New Roman" w:cs="Arial Narrow"/>
      <w:b/>
      <w:color w:val="000000"/>
      <w:sz w:val="28"/>
      <w:szCs w:val="24"/>
      <w:lang w:val="en-US" w:bidi="ar-SA" w:eastAsia="zh-CN"/>
    </w:rPr>
  </w:style>
  <w:style w:type="paragraph" w:styleId="SOFinalBulletsCoded23Letters">
    <w:name w:val="SO Final Bullets Coded (2-3 Letters)"/>
    <w:qFormat/>
    <w:pPr>
      <w:widowControl/>
      <w:tabs>
        <w:tab w:val="left" w:pos="567" w:leader="none"/>
      </w:tabs>
      <w:spacing w:before="60" w:after="0"/>
      <w:ind w:left="567" w:hanging="567"/>
    </w:pPr>
    <w:rPr>
      <w:rFonts w:ascii="Arial" w:hAnsi="Arial" w:eastAsia="MS Mincho;ＭＳ 明朝" w:cs="Arial"/>
      <w:color w:val="000000"/>
      <w:sz w:val="20"/>
      <w:szCs w:val="24"/>
      <w:lang w:val="en-US" w:bidi="ar-SA" w:eastAsia="zh-CN"/>
    </w:rPr>
  </w:style>
  <w:style w:type="paragraph" w:styleId="SOFinalPerformanceTableHead1">
    <w:name w:val="SO Final Performance Table Head 1"/>
    <w:qFormat/>
    <w:pPr>
      <w:widowControl/>
    </w:pPr>
    <w:rPr>
      <w:rFonts w:ascii="Arial" w:hAnsi="Arial" w:eastAsia="SimSun;宋体" w:cs="Arial"/>
      <w:b/>
      <w:color w:val="FFFFFF"/>
      <w:sz w:val="20"/>
      <w:szCs w:val="24"/>
      <w:lang w:val="en-AU" w:eastAsia="zh-CN" w:bidi="ar-SA"/>
    </w:rPr>
  </w:style>
  <w:style w:type="paragraph" w:styleId="SOFinalPerformanceTableText">
    <w:name w:val="SO Final Performance Table Text"/>
    <w:qFormat/>
    <w:pPr>
      <w:widowControl/>
      <w:spacing w:before="120" w:after="0"/>
    </w:pPr>
    <w:rPr>
      <w:rFonts w:ascii="Arial" w:hAnsi="Arial" w:eastAsia="SimSun;宋体" w:cs="Arial"/>
      <w:color w:val="auto"/>
      <w:sz w:val="16"/>
      <w:szCs w:val="24"/>
      <w:lang w:val="en-AU" w:eastAsia="zh-CN" w:bidi="ar-SA"/>
    </w:rPr>
  </w:style>
  <w:style w:type="paragraph" w:styleId="SOFinalPerformanceTableLetters">
    <w:name w:val="SO Final Performance Table Letters"/>
    <w:qFormat/>
    <w:pPr>
      <w:widowControl/>
      <w:spacing w:before="120" w:after="0"/>
      <w:jc w:val="center"/>
    </w:pPr>
    <w:rPr>
      <w:rFonts w:ascii="Arial" w:hAnsi="Arial" w:eastAsia="SimSun;宋体" w:cs="Arial"/>
      <w:b/>
      <w:color w:val="auto"/>
      <w:sz w:val="24"/>
      <w:szCs w:val="24"/>
      <w:lang w:val="en-AU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LibreOffice/6.0.2.1$Linux_X86_64 LibreOffice_project/f7f06a8f319e4b62f9bc5095aa112a65d2f3ac89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2020-09-01T05:26:00Z</dcterms:created>
  <dc:creator/>
  <dc:description/>
  <cp:keywords/>
  <dc:language>en-US</dc:language>
  <cp:lastModifiedBy/>
  <cp:lastPrinted>2017-09-25T09:06:00Z</cp:lastPrinted>
  <dcterms:modified xsi:type="dcterms:W3CDTF">2020-11-12T03:26:00Z</dcterms:modified>
  <cp:revision>3</cp:revision>
  <dc:subject/>
  <dc:title>STAGE 2 AGRICULTURE AND HORTICULTURE</dc:title>
</cp:coreProperties>
</file>