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4FCB" w14:textId="77777777" w:rsidR="00D64A84" w:rsidRDefault="00D64A84" w:rsidP="00D64A84">
      <w:pPr>
        <w:spacing w:line="480" w:lineRule="auto"/>
        <w:rPr>
          <w:rFonts w:ascii="Times New Roman" w:hAnsi="Times New Roman" w:cs="Times New Roman"/>
          <w:sz w:val="24"/>
          <w:szCs w:val="24"/>
        </w:rPr>
      </w:pPr>
    </w:p>
    <w:p w14:paraId="6EC2FDC1" w14:textId="77777777" w:rsidR="00D64A84" w:rsidRDefault="00D64A84" w:rsidP="00D64A84">
      <w:pPr>
        <w:spacing w:line="480" w:lineRule="auto"/>
        <w:rPr>
          <w:rFonts w:ascii="Times New Roman" w:hAnsi="Times New Roman" w:cs="Times New Roman"/>
          <w:sz w:val="24"/>
          <w:szCs w:val="24"/>
        </w:rPr>
      </w:pPr>
    </w:p>
    <w:p w14:paraId="498DBB3E" w14:textId="77777777" w:rsidR="00D64A84" w:rsidRDefault="00D64A84" w:rsidP="00D64A84">
      <w:pPr>
        <w:spacing w:line="480" w:lineRule="auto"/>
        <w:rPr>
          <w:rFonts w:ascii="Times New Roman" w:hAnsi="Times New Roman" w:cs="Times New Roman"/>
          <w:sz w:val="24"/>
          <w:szCs w:val="24"/>
        </w:rPr>
      </w:pPr>
    </w:p>
    <w:p w14:paraId="5D55032D" w14:textId="77777777" w:rsidR="00D64A84" w:rsidRDefault="00D64A84" w:rsidP="00D64A84">
      <w:pPr>
        <w:spacing w:line="480" w:lineRule="auto"/>
        <w:rPr>
          <w:rFonts w:ascii="Times New Roman" w:hAnsi="Times New Roman" w:cs="Times New Roman"/>
          <w:sz w:val="24"/>
          <w:szCs w:val="24"/>
        </w:rPr>
      </w:pPr>
    </w:p>
    <w:p w14:paraId="2167C465" w14:textId="77777777" w:rsidR="00D64A84" w:rsidRDefault="00D64A84" w:rsidP="00D64A84">
      <w:pPr>
        <w:spacing w:line="480" w:lineRule="auto"/>
        <w:rPr>
          <w:rFonts w:ascii="Times New Roman" w:hAnsi="Times New Roman" w:cs="Times New Roman"/>
          <w:sz w:val="24"/>
          <w:szCs w:val="24"/>
        </w:rPr>
      </w:pPr>
    </w:p>
    <w:p w14:paraId="24E61183" w14:textId="77777777" w:rsidR="00D64A84" w:rsidRDefault="00D64A84" w:rsidP="00D64A84">
      <w:pPr>
        <w:spacing w:line="480" w:lineRule="auto"/>
        <w:rPr>
          <w:rFonts w:ascii="Times New Roman" w:hAnsi="Times New Roman" w:cs="Times New Roman"/>
          <w:sz w:val="24"/>
          <w:szCs w:val="24"/>
        </w:rPr>
      </w:pPr>
    </w:p>
    <w:p w14:paraId="293A989F" w14:textId="77777777" w:rsidR="00D64A84" w:rsidRDefault="00D64A84" w:rsidP="00D64A84">
      <w:pPr>
        <w:spacing w:line="480" w:lineRule="auto"/>
        <w:rPr>
          <w:rFonts w:ascii="Times New Roman" w:hAnsi="Times New Roman" w:cs="Times New Roman"/>
          <w:sz w:val="24"/>
          <w:szCs w:val="24"/>
        </w:rPr>
      </w:pPr>
    </w:p>
    <w:p w14:paraId="47FDD0EC" w14:textId="77777777" w:rsidR="00D64A84" w:rsidRPr="00D64A84" w:rsidRDefault="00D64A84" w:rsidP="00D64A84">
      <w:pPr>
        <w:spacing w:line="480" w:lineRule="auto"/>
        <w:jc w:val="center"/>
        <w:rPr>
          <w:rFonts w:ascii="Times New Roman" w:hAnsi="Times New Roman" w:cs="Times New Roman"/>
          <w:sz w:val="24"/>
          <w:szCs w:val="24"/>
        </w:rPr>
      </w:pPr>
      <w:r w:rsidRPr="00D64A84">
        <w:rPr>
          <w:rFonts w:ascii="Times New Roman" w:hAnsi="Times New Roman" w:cs="Times New Roman"/>
          <w:sz w:val="24"/>
          <w:szCs w:val="24"/>
        </w:rPr>
        <w:t>PTCL and NKTCL Study</w:t>
      </w:r>
    </w:p>
    <w:p w14:paraId="6F44BA4F" w14:textId="77777777" w:rsidR="00D64A84" w:rsidRPr="00D64A84" w:rsidRDefault="00D64A84" w:rsidP="00D64A84">
      <w:pPr>
        <w:spacing w:line="480" w:lineRule="auto"/>
        <w:jc w:val="center"/>
        <w:rPr>
          <w:rFonts w:ascii="Times New Roman" w:hAnsi="Times New Roman" w:cs="Times New Roman"/>
          <w:sz w:val="24"/>
          <w:szCs w:val="24"/>
        </w:rPr>
      </w:pPr>
      <w:r w:rsidRPr="00D64A84">
        <w:rPr>
          <w:rFonts w:ascii="Times New Roman" w:hAnsi="Times New Roman" w:cs="Times New Roman"/>
          <w:sz w:val="24"/>
          <w:szCs w:val="24"/>
        </w:rPr>
        <w:t>Institutional Affiliation</w:t>
      </w:r>
    </w:p>
    <w:p w14:paraId="3AAC5AF7" w14:textId="77777777" w:rsidR="00D64A84" w:rsidRDefault="00D64A84" w:rsidP="00D64A84">
      <w:pPr>
        <w:spacing w:line="480" w:lineRule="auto"/>
        <w:jc w:val="center"/>
      </w:pPr>
      <w:r w:rsidRPr="00D64A84">
        <w:rPr>
          <w:rFonts w:ascii="Times New Roman" w:hAnsi="Times New Roman" w:cs="Times New Roman"/>
          <w:sz w:val="24"/>
          <w:szCs w:val="24"/>
        </w:rPr>
        <w:t>Date</w:t>
      </w:r>
    </w:p>
    <w:p w14:paraId="012A8FB9" w14:textId="77777777" w:rsidR="00D64A84" w:rsidRDefault="00D64A84" w:rsidP="00D64A84"/>
    <w:p w14:paraId="58D86573" w14:textId="77777777" w:rsidR="00D64A84" w:rsidRDefault="00D64A84" w:rsidP="00D64A84"/>
    <w:p w14:paraId="00B8E44B" w14:textId="77777777" w:rsidR="00D64A84" w:rsidRDefault="00D64A84" w:rsidP="00D64A84"/>
    <w:p w14:paraId="501AC552" w14:textId="77777777" w:rsidR="00D64A84" w:rsidRDefault="00D64A84" w:rsidP="00D64A84"/>
    <w:p w14:paraId="2E10BDD9" w14:textId="77777777" w:rsidR="00D64A84" w:rsidRDefault="00D64A84" w:rsidP="00D64A84"/>
    <w:p w14:paraId="534FF1B7" w14:textId="77777777" w:rsidR="00D64A84" w:rsidRDefault="00D64A84" w:rsidP="00D64A84"/>
    <w:p w14:paraId="3CF8E90D" w14:textId="77777777" w:rsidR="00D64A84" w:rsidRDefault="00D64A84" w:rsidP="00D64A84"/>
    <w:p w14:paraId="34115CF5" w14:textId="77777777" w:rsidR="00D64A84" w:rsidRDefault="00D64A84" w:rsidP="00D64A84"/>
    <w:p w14:paraId="1927F68D" w14:textId="77777777" w:rsidR="00D64A84" w:rsidRDefault="00D64A84" w:rsidP="00D64A84"/>
    <w:p w14:paraId="2D2A4701" w14:textId="77777777" w:rsidR="00D64A84" w:rsidRDefault="00D64A84" w:rsidP="00D64A84"/>
    <w:p w14:paraId="49F2CBA7" w14:textId="77777777" w:rsidR="00D64A84" w:rsidRDefault="00D64A84" w:rsidP="00D64A84"/>
    <w:p w14:paraId="027B9ACA" w14:textId="77777777" w:rsidR="00D64A84" w:rsidRDefault="00D64A84" w:rsidP="00D64A84"/>
    <w:p w14:paraId="5AEDF80B" w14:textId="77777777" w:rsidR="00F52B5A" w:rsidRDefault="00D64A84" w:rsidP="00D64A84">
      <w:pPr>
        <w:spacing w:line="480" w:lineRule="auto"/>
        <w:ind w:firstLine="720"/>
        <w:jc w:val="both"/>
        <w:rPr>
          <w:rFonts w:ascii="Times New Roman" w:hAnsi="Times New Roman" w:cs="Times New Roman"/>
          <w:sz w:val="24"/>
          <w:szCs w:val="24"/>
        </w:rPr>
      </w:pPr>
      <w:r w:rsidRPr="00D64A84">
        <w:rPr>
          <w:rFonts w:ascii="Times New Roman" w:hAnsi="Times New Roman" w:cs="Times New Roman"/>
          <w:sz w:val="24"/>
          <w:szCs w:val="24"/>
        </w:rPr>
        <w:lastRenderedPageBreak/>
        <w:t xml:space="preserve">This paper is a summary of pathology findings and the clinical outcomes of the International Peripheral T-Cell (PTCL) and Natural Killer/T-Cell Lymphoma (NKTCL) Study. Pathology is the process to which scientists study the nature of diseases, their causes, developments, processes and consequences. In the study of the pathology and the outcomes over three continents namely, North-America, Europe and Asia were selected to participate. The permissions </w:t>
      </w:r>
      <w:r w:rsidRPr="00B20EED">
        <w:rPr>
          <w:rFonts w:ascii="Times New Roman" w:hAnsi="Times New Roman" w:cs="Times New Roman"/>
          <w:noProof/>
          <w:sz w:val="24"/>
          <w:szCs w:val="24"/>
        </w:rPr>
        <w:t>were issued</w:t>
      </w:r>
      <w:r w:rsidRPr="00D64A84">
        <w:rPr>
          <w:rFonts w:ascii="Times New Roman" w:hAnsi="Times New Roman" w:cs="Times New Roman"/>
          <w:sz w:val="24"/>
          <w:szCs w:val="24"/>
        </w:rPr>
        <w:t xml:space="preserve"> by the institutional review board and the scientific review committee. </w:t>
      </w:r>
    </w:p>
    <w:p w14:paraId="7651B4D5" w14:textId="77777777" w:rsidR="00D64A84" w:rsidRPr="00D64A84" w:rsidRDefault="00D64A84" w:rsidP="00D64A84">
      <w:pPr>
        <w:spacing w:line="480" w:lineRule="auto"/>
        <w:ind w:firstLine="720"/>
        <w:jc w:val="both"/>
        <w:rPr>
          <w:rFonts w:ascii="Times New Roman" w:hAnsi="Times New Roman" w:cs="Times New Roman"/>
          <w:sz w:val="24"/>
          <w:szCs w:val="24"/>
        </w:rPr>
      </w:pPr>
      <w:r w:rsidRPr="00D64A84">
        <w:rPr>
          <w:rFonts w:ascii="Times New Roman" w:hAnsi="Times New Roman" w:cs="Times New Roman"/>
          <w:sz w:val="24"/>
          <w:szCs w:val="24"/>
        </w:rPr>
        <w:t xml:space="preserve">The cases that </w:t>
      </w:r>
      <w:r w:rsidRPr="00B20EED">
        <w:rPr>
          <w:rFonts w:ascii="Times New Roman" w:hAnsi="Times New Roman" w:cs="Times New Roman"/>
          <w:noProof/>
          <w:sz w:val="24"/>
          <w:szCs w:val="24"/>
        </w:rPr>
        <w:t>were chosen</w:t>
      </w:r>
      <w:r w:rsidRPr="00D64A84">
        <w:rPr>
          <w:rFonts w:ascii="Times New Roman" w:hAnsi="Times New Roman" w:cs="Times New Roman"/>
          <w:sz w:val="24"/>
          <w:szCs w:val="24"/>
        </w:rPr>
        <w:t xml:space="preserve"> for the study were patients between the age of 19 or older that were suffering from PTCL and NKTCL.  Diagnostic slides, datasheets and tissue blocks were used and sent to regional centres for analysis. The clinical information of the patients included patient identifiers that were coded, date of birth, the ethnic origin, sex, sites of the disease and diagnostic biopsy. The symptoms, performance status, the diameter of the most massive tumour and immune systems disorders were also additional information that </w:t>
      </w:r>
      <w:r w:rsidRPr="00B20EED">
        <w:rPr>
          <w:rFonts w:ascii="Times New Roman" w:hAnsi="Times New Roman" w:cs="Times New Roman"/>
          <w:noProof/>
          <w:sz w:val="24"/>
          <w:szCs w:val="24"/>
        </w:rPr>
        <w:t>was included</w:t>
      </w:r>
      <w:r w:rsidRPr="00D64A84">
        <w:rPr>
          <w:rFonts w:ascii="Times New Roman" w:hAnsi="Times New Roman" w:cs="Times New Roman"/>
          <w:sz w:val="24"/>
          <w:szCs w:val="24"/>
        </w:rPr>
        <w:t xml:space="preserve">. </w:t>
      </w:r>
    </w:p>
    <w:p w14:paraId="3793435E" w14:textId="1DD67A83" w:rsidR="00D64A84" w:rsidRPr="00D64A84" w:rsidRDefault="00D64A84" w:rsidP="00D64A84">
      <w:pPr>
        <w:spacing w:line="480" w:lineRule="auto"/>
        <w:ind w:firstLine="720"/>
        <w:jc w:val="both"/>
        <w:rPr>
          <w:rFonts w:ascii="Times New Roman" w:hAnsi="Times New Roman" w:cs="Times New Roman"/>
          <w:sz w:val="24"/>
          <w:szCs w:val="24"/>
        </w:rPr>
      </w:pPr>
      <w:r w:rsidRPr="00D64A84">
        <w:rPr>
          <w:rFonts w:ascii="Times New Roman" w:hAnsi="Times New Roman" w:cs="Times New Roman"/>
          <w:sz w:val="24"/>
          <w:szCs w:val="24"/>
        </w:rPr>
        <w:t xml:space="preserve">Their diagnostics that were made by the pathologists that </w:t>
      </w:r>
      <w:r w:rsidRPr="00B20EED">
        <w:rPr>
          <w:rFonts w:ascii="Times New Roman" w:hAnsi="Times New Roman" w:cs="Times New Roman"/>
          <w:noProof/>
          <w:sz w:val="24"/>
          <w:szCs w:val="24"/>
        </w:rPr>
        <w:t>were assigned</w:t>
      </w:r>
      <w:r w:rsidRPr="00D64A84">
        <w:rPr>
          <w:rFonts w:ascii="Times New Roman" w:hAnsi="Times New Roman" w:cs="Times New Roman"/>
          <w:sz w:val="24"/>
          <w:szCs w:val="24"/>
        </w:rPr>
        <w:t xml:space="preserve"> to the case </w:t>
      </w:r>
      <w:r w:rsidRPr="00B20EED">
        <w:rPr>
          <w:rFonts w:ascii="Times New Roman" w:hAnsi="Times New Roman" w:cs="Times New Roman"/>
          <w:noProof/>
          <w:sz w:val="24"/>
          <w:szCs w:val="24"/>
        </w:rPr>
        <w:t>were based</w:t>
      </w:r>
      <w:r w:rsidRPr="00D64A84">
        <w:rPr>
          <w:rFonts w:ascii="Times New Roman" w:hAnsi="Times New Roman" w:cs="Times New Roman"/>
          <w:sz w:val="24"/>
          <w:szCs w:val="24"/>
        </w:rPr>
        <w:t xml:space="preserve"> on molecular genetic data, clinical data, histology and immunophenotype. The variations of the geographic region </w:t>
      </w:r>
      <w:r w:rsidRPr="00B20EED">
        <w:rPr>
          <w:rFonts w:ascii="Times New Roman" w:hAnsi="Times New Roman" w:cs="Times New Roman"/>
          <w:noProof/>
          <w:sz w:val="24"/>
          <w:szCs w:val="24"/>
        </w:rPr>
        <w:t>were included</w:t>
      </w:r>
      <w:r w:rsidRPr="00D64A84">
        <w:rPr>
          <w:rFonts w:ascii="Times New Roman" w:hAnsi="Times New Roman" w:cs="Times New Roman"/>
          <w:sz w:val="24"/>
          <w:szCs w:val="24"/>
        </w:rPr>
        <w:t xml:space="preserve"> in a table that showed that PTCL-NOS was the most common sub-type that </w:t>
      </w:r>
      <w:r w:rsidRPr="00B20EED">
        <w:rPr>
          <w:rFonts w:ascii="Times New Roman" w:hAnsi="Times New Roman" w:cs="Times New Roman"/>
          <w:noProof/>
          <w:sz w:val="24"/>
          <w:szCs w:val="24"/>
        </w:rPr>
        <w:t>was found</w:t>
      </w:r>
      <w:r w:rsidRPr="00D64A84">
        <w:rPr>
          <w:rFonts w:ascii="Times New Roman" w:hAnsi="Times New Roman" w:cs="Times New Roman"/>
          <w:sz w:val="24"/>
          <w:szCs w:val="24"/>
        </w:rPr>
        <w:t xml:space="preserve"> in Europe and North-America. On the other </w:t>
      </w:r>
      <w:r w:rsidR="00B20EED" w:rsidRPr="00D64A84">
        <w:rPr>
          <w:rFonts w:ascii="Times New Roman" w:hAnsi="Times New Roman" w:cs="Times New Roman"/>
          <w:sz w:val="24"/>
          <w:szCs w:val="24"/>
        </w:rPr>
        <w:t>hand,</w:t>
      </w:r>
      <w:r w:rsidRPr="00D64A84">
        <w:rPr>
          <w:rFonts w:ascii="Times New Roman" w:hAnsi="Times New Roman" w:cs="Times New Roman"/>
          <w:sz w:val="24"/>
          <w:szCs w:val="24"/>
        </w:rPr>
        <w:t xml:space="preserve"> was NKTCL were common in areas in Asia.  The disease also had some clinical characteristics which found that most of the subtypes that occurred </w:t>
      </w:r>
      <w:r w:rsidRPr="00B20EED">
        <w:rPr>
          <w:rFonts w:ascii="Times New Roman" w:hAnsi="Times New Roman" w:cs="Times New Roman"/>
          <w:noProof/>
          <w:sz w:val="24"/>
          <w:szCs w:val="24"/>
        </w:rPr>
        <w:t>were typically found</w:t>
      </w:r>
      <w:r w:rsidRPr="00D64A84">
        <w:rPr>
          <w:rFonts w:ascii="Times New Roman" w:hAnsi="Times New Roman" w:cs="Times New Roman"/>
          <w:sz w:val="24"/>
          <w:szCs w:val="24"/>
        </w:rPr>
        <w:t xml:space="preserve"> in male patients. Some of the sub-types, on the other hand, affected the younger persons of less than 33 years. </w:t>
      </w:r>
    </w:p>
    <w:p w14:paraId="278C4DE2" w14:textId="63B53FE8" w:rsidR="00D64A84" w:rsidRPr="00D64A84" w:rsidRDefault="00D64A84" w:rsidP="00D64A84">
      <w:pPr>
        <w:spacing w:line="480" w:lineRule="auto"/>
        <w:ind w:firstLine="720"/>
        <w:jc w:val="both"/>
        <w:rPr>
          <w:rFonts w:ascii="Times New Roman" w:hAnsi="Times New Roman" w:cs="Times New Roman"/>
          <w:sz w:val="24"/>
          <w:szCs w:val="24"/>
        </w:rPr>
      </w:pPr>
      <w:r w:rsidRPr="00D64A84">
        <w:rPr>
          <w:rFonts w:ascii="Times New Roman" w:hAnsi="Times New Roman" w:cs="Times New Roman"/>
          <w:sz w:val="24"/>
          <w:szCs w:val="24"/>
        </w:rPr>
        <w:t xml:space="preserve">The outcomes indicated that the subtypes of </w:t>
      </w:r>
      <w:r w:rsidR="00B20EED" w:rsidRPr="00D64A84">
        <w:rPr>
          <w:rFonts w:ascii="Times New Roman" w:hAnsi="Times New Roman" w:cs="Times New Roman"/>
          <w:sz w:val="24"/>
          <w:szCs w:val="24"/>
        </w:rPr>
        <w:t>PTCL and</w:t>
      </w:r>
      <w:r w:rsidRPr="00D64A84">
        <w:rPr>
          <w:rFonts w:ascii="Times New Roman" w:hAnsi="Times New Roman" w:cs="Times New Roman"/>
          <w:sz w:val="24"/>
          <w:szCs w:val="24"/>
        </w:rPr>
        <w:t xml:space="preserve"> NKTCL could live for 5years with some with an OS for 70% and others with an OS of 90%. The characteristics of the </w:t>
      </w:r>
      <w:r w:rsidRPr="00D64A84">
        <w:rPr>
          <w:rFonts w:ascii="Times New Roman" w:hAnsi="Times New Roman" w:cs="Times New Roman"/>
          <w:sz w:val="24"/>
          <w:szCs w:val="24"/>
        </w:rPr>
        <w:lastRenderedPageBreak/>
        <w:t xml:space="preserve">prognosis also varied as the </w:t>
      </w:r>
      <w:r w:rsidR="00B20EED">
        <w:rPr>
          <w:rFonts w:ascii="Times New Roman" w:hAnsi="Times New Roman" w:cs="Times New Roman"/>
          <w:noProof/>
          <w:sz w:val="24"/>
          <w:szCs w:val="24"/>
        </w:rPr>
        <w:t>five</w:t>
      </w:r>
      <w:r w:rsidRPr="00D64A84">
        <w:rPr>
          <w:rFonts w:ascii="Times New Roman" w:hAnsi="Times New Roman" w:cs="Times New Roman"/>
          <w:sz w:val="24"/>
          <w:szCs w:val="24"/>
        </w:rPr>
        <w:t xml:space="preserve"> years OS had both low and High-risk IPI for each histologic sub-type that was studied. Although IPI was helpful, ATLL, PTCL and NKTCL had poor outcomes.  For the treatment analysis, the therapeutic approaches varied from one region to another since the case studies were from 22 worldwide centres. Most of the patients received anthracycline-containing regimen as treatment whereas those with the localised disease were treated using radiation therapy. </w:t>
      </w:r>
    </w:p>
    <w:p w14:paraId="4C949DAF" w14:textId="77777777" w:rsidR="00D64A84" w:rsidRPr="00D64A84" w:rsidRDefault="00D64A84" w:rsidP="00D64A84">
      <w:pPr>
        <w:spacing w:line="480" w:lineRule="auto"/>
        <w:ind w:firstLine="720"/>
        <w:jc w:val="both"/>
        <w:rPr>
          <w:rFonts w:ascii="Times New Roman" w:hAnsi="Times New Roman" w:cs="Times New Roman"/>
          <w:sz w:val="24"/>
          <w:szCs w:val="24"/>
        </w:rPr>
      </w:pPr>
      <w:r w:rsidRPr="00D64A84">
        <w:rPr>
          <w:rFonts w:ascii="Times New Roman" w:hAnsi="Times New Roman" w:cs="Times New Roman"/>
          <w:sz w:val="24"/>
          <w:szCs w:val="24"/>
        </w:rPr>
        <w:t xml:space="preserve">The methods used in researching PTCL and NKTCL were tissue biopsy that extracted tissues for testing. A molecular genetic study </w:t>
      </w:r>
      <w:r w:rsidRPr="00B20EED">
        <w:rPr>
          <w:rFonts w:ascii="Times New Roman" w:hAnsi="Times New Roman" w:cs="Times New Roman"/>
          <w:noProof/>
          <w:sz w:val="24"/>
          <w:szCs w:val="24"/>
        </w:rPr>
        <w:t>was also performed</w:t>
      </w:r>
      <w:r w:rsidRPr="00D64A84">
        <w:rPr>
          <w:rFonts w:ascii="Times New Roman" w:hAnsi="Times New Roman" w:cs="Times New Roman"/>
          <w:sz w:val="24"/>
          <w:szCs w:val="24"/>
        </w:rPr>
        <w:t xml:space="preserve"> which studied the genes and the chromosomes at a molecular level. Immunophenotypic markers </w:t>
      </w:r>
      <w:bookmarkStart w:id="0" w:name="_GoBack"/>
      <w:bookmarkEnd w:id="0"/>
      <w:r w:rsidRPr="00B20EED">
        <w:rPr>
          <w:rFonts w:ascii="Times New Roman" w:hAnsi="Times New Roman" w:cs="Times New Roman"/>
          <w:noProof/>
          <w:sz w:val="24"/>
          <w:szCs w:val="24"/>
        </w:rPr>
        <w:t>were used</w:t>
      </w:r>
      <w:r w:rsidRPr="00D64A84">
        <w:rPr>
          <w:rFonts w:ascii="Times New Roman" w:hAnsi="Times New Roman" w:cs="Times New Roman"/>
          <w:sz w:val="24"/>
          <w:szCs w:val="24"/>
        </w:rPr>
        <w:t xml:space="preserve"> which is the study of the heterogeneous population in the cells as a way of identifying the presence of other people of interest.  The antibodies are also used to detect specific antigens that are expressed by the cells. The antibodies are therefore known as markers. The final method was the use of clinical information where the patients gave information on the history of their medical condition, the report was presented to and reviewed by the four expert hematopathologists and classified by WHO accordingly. </w:t>
      </w:r>
    </w:p>
    <w:p w14:paraId="7C722075" w14:textId="77777777" w:rsidR="00FB53AA" w:rsidRDefault="00D64A84" w:rsidP="00D64A84">
      <w:pPr>
        <w:spacing w:line="480" w:lineRule="auto"/>
        <w:ind w:firstLine="720"/>
        <w:jc w:val="both"/>
        <w:rPr>
          <w:rFonts w:ascii="Times New Roman" w:hAnsi="Times New Roman" w:cs="Times New Roman"/>
          <w:sz w:val="24"/>
          <w:szCs w:val="24"/>
        </w:rPr>
      </w:pPr>
      <w:r w:rsidRPr="00D64A84">
        <w:rPr>
          <w:rFonts w:ascii="Times New Roman" w:hAnsi="Times New Roman" w:cs="Times New Roman"/>
          <w:sz w:val="24"/>
          <w:szCs w:val="24"/>
        </w:rPr>
        <w:t xml:space="preserve">I agree that the publication remains the best publication and most through when it comes to PTCL and NKTCL studies. It also brought about a significant breakthrough in the conditions from their research. People are now aware of the causes and the forms of treatment that exists. Regardless, I fill that the publication should have taken time to inform us about the signs and the symptoms of the disease so that people can be able to seek medical attention from these conditions at early stages. </w:t>
      </w:r>
      <w:r w:rsidR="00FB53AA" w:rsidRPr="00D64A84">
        <w:rPr>
          <w:rFonts w:ascii="Times New Roman" w:hAnsi="Times New Roman" w:cs="Times New Roman"/>
          <w:sz w:val="24"/>
          <w:szCs w:val="24"/>
        </w:rPr>
        <w:t xml:space="preserve"> </w:t>
      </w:r>
    </w:p>
    <w:p w14:paraId="41541932" w14:textId="77777777" w:rsidR="00F52B5A" w:rsidRDefault="00F52B5A" w:rsidP="00D64A84">
      <w:pPr>
        <w:spacing w:line="480" w:lineRule="auto"/>
        <w:ind w:firstLine="720"/>
        <w:jc w:val="both"/>
        <w:rPr>
          <w:rFonts w:ascii="Times New Roman" w:hAnsi="Times New Roman" w:cs="Times New Roman"/>
          <w:b/>
          <w:sz w:val="24"/>
          <w:szCs w:val="24"/>
        </w:rPr>
      </w:pPr>
    </w:p>
    <w:p w14:paraId="52577432" w14:textId="77777777" w:rsidR="00F52B5A" w:rsidRDefault="00F52B5A" w:rsidP="00F52B5A">
      <w:pPr>
        <w:spacing w:line="480" w:lineRule="auto"/>
        <w:jc w:val="both"/>
        <w:rPr>
          <w:rFonts w:ascii="Times New Roman" w:hAnsi="Times New Roman" w:cs="Times New Roman"/>
          <w:b/>
          <w:sz w:val="24"/>
          <w:szCs w:val="24"/>
        </w:rPr>
      </w:pPr>
    </w:p>
    <w:p w14:paraId="001184A0" w14:textId="77777777" w:rsidR="00F52B5A" w:rsidRPr="00F52B5A" w:rsidRDefault="00F52B5A" w:rsidP="00F52B5A">
      <w:pPr>
        <w:spacing w:line="480" w:lineRule="auto"/>
        <w:ind w:firstLine="720"/>
        <w:jc w:val="both"/>
        <w:rPr>
          <w:rFonts w:ascii="Times New Roman" w:hAnsi="Times New Roman" w:cs="Times New Roman"/>
          <w:b/>
          <w:sz w:val="24"/>
          <w:szCs w:val="24"/>
        </w:rPr>
      </w:pPr>
      <w:r w:rsidRPr="00F52B5A">
        <w:rPr>
          <w:rFonts w:ascii="Times New Roman" w:hAnsi="Times New Roman" w:cs="Times New Roman"/>
          <w:b/>
          <w:sz w:val="24"/>
          <w:szCs w:val="24"/>
        </w:rPr>
        <w:lastRenderedPageBreak/>
        <w:t>References</w:t>
      </w:r>
    </w:p>
    <w:p w14:paraId="3B19952A" w14:textId="77777777" w:rsidR="00F52B5A" w:rsidRPr="00D64A84" w:rsidRDefault="00F52B5A" w:rsidP="007D3697">
      <w:pPr>
        <w:spacing w:line="480" w:lineRule="auto"/>
        <w:jc w:val="both"/>
        <w:rPr>
          <w:rFonts w:ascii="Times New Roman" w:hAnsi="Times New Roman" w:cs="Times New Roman"/>
          <w:sz w:val="24"/>
          <w:szCs w:val="24"/>
        </w:rPr>
      </w:pPr>
      <w:r>
        <w:rPr>
          <w:rFonts w:ascii="Arial" w:hAnsi="Arial" w:cs="Arial"/>
          <w:color w:val="000000"/>
          <w:sz w:val="20"/>
          <w:szCs w:val="20"/>
          <w:shd w:val="clear" w:color="auto" w:fill="FFFFFF"/>
        </w:rPr>
        <w:t>(</w:t>
      </w:r>
      <w:r w:rsidRPr="007D3697">
        <w:rPr>
          <w:rFonts w:ascii="Times New Roman" w:hAnsi="Times New Roman" w:cs="Times New Roman"/>
          <w:color w:val="000000"/>
          <w:sz w:val="24"/>
          <w:szCs w:val="24"/>
          <w:shd w:val="clear" w:color="auto" w:fill="FFFFFF"/>
        </w:rPr>
        <w:t xml:space="preserve">2018). Retrieved from </w:t>
      </w:r>
      <w:hyperlink r:id="rId6" w:history="1">
        <w:r w:rsidRPr="007D3697">
          <w:rPr>
            <w:rStyle w:val="Hyperlink"/>
            <w:rFonts w:ascii="Times New Roman" w:hAnsi="Times New Roman" w:cs="Times New Roman"/>
            <w:sz w:val="24"/>
            <w:szCs w:val="24"/>
            <w:shd w:val="clear" w:color="auto" w:fill="FFFFFF"/>
          </w:rPr>
          <w:t>http://ascopubs.org/doi/pdf/10.1200/JCO.2008.16.4558</w:t>
        </w:r>
      </w:hyperlink>
      <w:r>
        <w:rPr>
          <w:rFonts w:ascii="Arial" w:hAnsi="Arial" w:cs="Arial"/>
          <w:color w:val="000000"/>
          <w:sz w:val="20"/>
          <w:szCs w:val="20"/>
          <w:shd w:val="clear" w:color="auto" w:fill="FFFFFF"/>
        </w:rPr>
        <w:t xml:space="preserve"> </w:t>
      </w:r>
    </w:p>
    <w:sectPr w:rsidR="00F52B5A" w:rsidRPr="00D64A84" w:rsidSect="00D64A84">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CC2F" w14:textId="77777777" w:rsidR="00D43524" w:rsidRDefault="00D43524" w:rsidP="00D64A84">
      <w:pPr>
        <w:spacing w:after="0" w:line="240" w:lineRule="auto"/>
      </w:pPr>
      <w:r>
        <w:separator/>
      </w:r>
    </w:p>
  </w:endnote>
  <w:endnote w:type="continuationSeparator" w:id="0">
    <w:p w14:paraId="055FC37A" w14:textId="77777777" w:rsidR="00D43524" w:rsidRDefault="00D43524" w:rsidP="00D6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8646" w14:textId="77777777" w:rsidR="00D43524" w:rsidRDefault="00D43524" w:rsidP="00D64A84">
      <w:pPr>
        <w:spacing w:after="0" w:line="240" w:lineRule="auto"/>
      </w:pPr>
      <w:r>
        <w:separator/>
      </w:r>
    </w:p>
  </w:footnote>
  <w:footnote w:type="continuationSeparator" w:id="0">
    <w:p w14:paraId="6B779D99" w14:textId="77777777" w:rsidR="00D43524" w:rsidRDefault="00D43524" w:rsidP="00D6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530802"/>
      <w:docPartObj>
        <w:docPartGallery w:val="Page Numbers (Top of Page)"/>
        <w:docPartUnique/>
      </w:docPartObj>
    </w:sdtPr>
    <w:sdtEndPr>
      <w:rPr>
        <w:rFonts w:asciiTheme="minorHAnsi" w:hAnsiTheme="minorHAnsi" w:cstheme="minorBidi"/>
        <w:sz w:val="22"/>
        <w:szCs w:val="22"/>
      </w:rPr>
    </w:sdtEndPr>
    <w:sdtContent>
      <w:p w14:paraId="5EBB692F" w14:textId="77777777" w:rsidR="00D64A84" w:rsidRDefault="00D64A84" w:rsidP="00D64A84">
        <w:pPr>
          <w:pStyle w:val="Header"/>
          <w:spacing w:line="480" w:lineRule="auto"/>
        </w:pPr>
        <w:r w:rsidRPr="00D64A84">
          <w:rPr>
            <w:rFonts w:ascii="Times New Roman" w:hAnsi="Times New Roman" w:cs="Times New Roman"/>
            <w:sz w:val="24"/>
            <w:szCs w:val="24"/>
          </w:rPr>
          <w:t xml:space="preserve">PTCL AND NKTCL STUDY </w:t>
        </w:r>
        <w:r>
          <w:rPr>
            <w:rFonts w:ascii="Times New Roman" w:hAnsi="Times New Roman" w:cs="Times New Roman"/>
            <w:sz w:val="24"/>
            <w:szCs w:val="24"/>
          </w:rPr>
          <w:t xml:space="preserve">                                                                                                   </w:t>
        </w:r>
        <w:r w:rsidRPr="00D64A84">
          <w:rPr>
            <w:rFonts w:ascii="Times New Roman" w:hAnsi="Times New Roman" w:cs="Times New Roman"/>
            <w:sz w:val="24"/>
            <w:szCs w:val="24"/>
          </w:rPr>
          <w:fldChar w:fldCharType="begin"/>
        </w:r>
        <w:r w:rsidRPr="00D64A84">
          <w:rPr>
            <w:rFonts w:ascii="Times New Roman" w:hAnsi="Times New Roman" w:cs="Times New Roman"/>
            <w:sz w:val="24"/>
            <w:szCs w:val="24"/>
          </w:rPr>
          <w:instrText xml:space="preserve"> PAGE   \* MERGEFORMAT </w:instrText>
        </w:r>
        <w:r w:rsidRPr="00D64A84">
          <w:rPr>
            <w:rFonts w:ascii="Times New Roman" w:hAnsi="Times New Roman" w:cs="Times New Roman"/>
            <w:sz w:val="24"/>
            <w:szCs w:val="24"/>
          </w:rPr>
          <w:fldChar w:fldCharType="separate"/>
        </w:r>
        <w:r w:rsidR="007D3697">
          <w:rPr>
            <w:rFonts w:ascii="Times New Roman" w:hAnsi="Times New Roman" w:cs="Times New Roman"/>
            <w:noProof/>
            <w:sz w:val="24"/>
            <w:szCs w:val="24"/>
          </w:rPr>
          <w:t>4</w:t>
        </w:r>
        <w:r w:rsidRPr="00D64A84">
          <w:rPr>
            <w:rFonts w:ascii="Times New Roman" w:hAnsi="Times New Roman" w:cs="Times New Roman"/>
            <w:sz w:val="24"/>
            <w:szCs w:val="24"/>
          </w:rPr>
          <w:fldChar w:fldCharType="end"/>
        </w:r>
      </w:p>
    </w:sdtContent>
  </w:sdt>
  <w:p w14:paraId="56BF2077" w14:textId="77777777" w:rsidR="00D64A84" w:rsidRDefault="00D64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98B1" w14:textId="77777777" w:rsidR="00D64A84" w:rsidRPr="00D64A84" w:rsidRDefault="00D64A84" w:rsidP="00D64A84">
    <w:pPr>
      <w:pStyle w:val="Header"/>
      <w:spacing w:line="480" w:lineRule="auto"/>
      <w:rPr>
        <w:rFonts w:ascii="Times New Roman" w:hAnsi="Times New Roman" w:cs="Times New Roman"/>
        <w:sz w:val="24"/>
        <w:szCs w:val="24"/>
      </w:rPr>
    </w:pPr>
    <w:r w:rsidRPr="00D64A84">
      <w:rPr>
        <w:rFonts w:ascii="Times New Roman" w:hAnsi="Times New Roman" w:cs="Times New Roman"/>
        <w:sz w:val="24"/>
        <w:szCs w:val="24"/>
      </w:rPr>
      <w:t>Running Head: PTCL AND NKTCL STUDY</w:t>
    </w:r>
    <w:sdt>
      <w:sdtPr>
        <w:rPr>
          <w:rFonts w:ascii="Times New Roman" w:hAnsi="Times New Roman" w:cs="Times New Roman"/>
          <w:sz w:val="24"/>
          <w:szCs w:val="24"/>
        </w:rPr>
        <w:id w:val="17530761"/>
        <w:docPartObj>
          <w:docPartGallery w:val="Page Numbers (Top of Page)"/>
          <w:docPartUnique/>
        </w:docPartObj>
      </w:sdtPr>
      <w:sdtEndPr/>
      <w:sdtContent>
        <w:r>
          <w:rPr>
            <w:rFonts w:ascii="Times New Roman" w:hAnsi="Times New Roman" w:cs="Times New Roman"/>
            <w:sz w:val="24"/>
            <w:szCs w:val="24"/>
          </w:rPr>
          <w:t xml:space="preserve">                                                                          </w:t>
        </w:r>
        <w:r w:rsidRPr="00D64A84">
          <w:rPr>
            <w:rFonts w:ascii="Times New Roman" w:hAnsi="Times New Roman" w:cs="Times New Roman"/>
            <w:sz w:val="24"/>
            <w:szCs w:val="24"/>
          </w:rPr>
          <w:fldChar w:fldCharType="begin"/>
        </w:r>
        <w:r w:rsidRPr="00D64A84">
          <w:rPr>
            <w:rFonts w:ascii="Times New Roman" w:hAnsi="Times New Roman" w:cs="Times New Roman"/>
            <w:sz w:val="24"/>
            <w:szCs w:val="24"/>
          </w:rPr>
          <w:instrText xml:space="preserve"> PAGE   \* MERGEFORMAT </w:instrText>
        </w:r>
        <w:r w:rsidRPr="00D64A84">
          <w:rPr>
            <w:rFonts w:ascii="Times New Roman" w:hAnsi="Times New Roman" w:cs="Times New Roman"/>
            <w:sz w:val="24"/>
            <w:szCs w:val="24"/>
          </w:rPr>
          <w:fldChar w:fldCharType="separate"/>
        </w:r>
        <w:r w:rsidR="00F52B5A">
          <w:rPr>
            <w:rFonts w:ascii="Times New Roman" w:hAnsi="Times New Roman" w:cs="Times New Roman"/>
            <w:noProof/>
            <w:sz w:val="24"/>
            <w:szCs w:val="24"/>
          </w:rPr>
          <w:t>1</w:t>
        </w:r>
        <w:r w:rsidRPr="00D64A84">
          <w:rPr>
            <w:rFonts w:ascii="Times New Roman" w:hAnsi="Times New Roman" w:cs="Times New Roman"/>
            <w:sz w:val="24"/>
            <w:szCs w:val="24"/>
          </w:rPr>
          <w:fldChar w:fldCharType="end"/>
        </w:r>
      </w:sdtContent>
    </w:sdt>
  </w:p>
  <w:p w14:paraId="4C3F8A5A" w14:textId="77777777" w:rsidR="00D64A84" w:rsidRDefault="00D64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yMbcwNjczNzE0NDRQ0lEKTi0uzszPAykwrAUADbsutSwAAAA="/>
  </w:docVars>
  <w:rsids>
    <w:rsidRoot w:val="00571973"/>
    <w:rsid w:val="0024727F"/>
    <w:rsid w:val="00297E16"/>
    <w:rsid w:val="00571973"/>
    <w:rsid w:val="0059197E"/>
    <w:rsid w:val="006E3657"/>
    <w:rsid w:val="007D3697"/>
    <w:rsid w:val="00877810"/>
    <w:rsid w:val="009D2D67"/>
    <w:rsid w:val="00A33881"/>
    <w:rsid w:val="00AC1736"/>
    <w:rsid w:val="00B02F3C"/>
    <w:rsid w:val="00B20EED"/>
    <w:rsid w:val="00C87975"/>
    <w:rsid w:val="00D43524"/>
    <w:rsid w:val="00D64A84"/>
    <w:rsid w:val="00DD1E26"/>
    <w:rsid w:val="00EA0A71"/>
    <w:rsid w:val="00EE32F1"/>
    <w:rsid w:val="00EE4BFF"/>
    <w:rsid w:val="00F52B5A"/>
    <w:rsid w:val="00FB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3432"/>
  <w15:docId w15:val="{ACFD1CEB-9A46-43E5-BFC2-4C0AA5FA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A84"/>
  </w:style>
  <w:style w:type="paragraph" w:styleId="Footer">
    <w:name w:val="footer"/>
    <w:basedOn w:val="Normal"/>
    <w:link w:val="FooterChar"/>
    <w:uiPriority w:val="99"/>
    <w:semiHidden/>
    <w:unhideWhenUsed/>
    <w:rsid w:val="00D64A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A84"/>
  </w:style>
  <w:style w:type="character" w:styleId="Hyperlink">
    <w:name w:val="Hyperlink"/>
    <w:basedOn w:val="DefaultParagraphFont"/>
    <w:uiPriority w:val="99"/>
    <w:unhideWhenUsed/>
    <w:rsid w:val="00F52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copubs.org/doi/pdf/10.1200/JCO.2008.16.455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rtyu</dc:creator>
  <cp:lastModifiedBy>Davie</cp:lastModifiedBy>
  <cp:revision>4</cp:revision>
  <dcterms:created xsi:type="dcterms:W3CDTF">2018-10-05T16:06:00Z</dcterms:created>
  <dcterms:modified xsi:type="dcterms:W3CDTF">2018-10-05T21:20:00Z</dcterms:modified>
</cp:coreProperties>
</file>