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A0564" w14:textId="77777777" w:rsidR="00AB7C64" w:rsidRDefault="00585A9D">
      <w:pPr>
        <w:rPr>
          <w:rFonts w:ascii="Arial" w:eastAsia="Arial" w:hAnsi="Arial" w:cs="Arial"/>
          <w:b/>
        </w:rPr>
      </w:pPr>
      <w:bookmarkStart w:id="0" w:name="_GoBack"/>
      <w:bookmarkEnd w:id="0"/>
      <w:r>
        <w:rPr>
          <w:rFonts w:ascii="Arial" w:eastAsia="Arial" w:hAnsi="Arial" w:cs="Arial"/>
          <w:b/>
        </w:rPr>
        <w:t>Explanation of mid-point method of computing Price Elasticity of Demand (Dpe)</w:t>
      </w:r>
    </w:p>
    <w:p w14:paraId="75DDC775" w14:textId="77777777" w:rsidR="00AB7C64" w:rsidRDefault="00585A9D">
      <w:pPr>
        <w:rPr>
          <w:rFonts w:ascii="Arial" w:eastAsia="Arial" w:hAnsi="Arial" w:cs="Arial"/>
        </w:rPr>
      </w:pPr>
      <w:r>
        <w:rPr>
          <w:rFonts w:ascii="Arial" w:eastAsia="Arial" w:hAnsi="Arial" w:cs="Arial"/>
        </w:rPr>
        <w:t>Assume that you are selling homemade pies in your bakery.  When the price was $10.00 each, you sold 500 pies in a month, when you raised the price to $13.00 each, you sold only 425 pies in a month, and when you raised the price to $16.00 each, you sold onl</w:t>
      </w:r>
      <w:r>
        <w:rPr>
          <w:rFonts w:ascii="Arial" w:eastAsia="Arial" w:hAnsi="Arial" w:cs="Arial"/>
        </w:rPr>
        <w:t xml:space="preserve">y 150 pies in a month.  </w:t>
      </w:r>
    </w:p>
    <w:tbl>
      <w:tblPr>
        <w:tblStyle w:val="a"/>
        <w:tblW w:w="4473" w:type="dxa"/>
        <w:tblInd w:w="-21" w:type="dxa"/>
        <w:tblLayout w:type="fixed"/>
        <w:tblLook w:val="0400" w:firstRow="0" w:lastRow="0" w:firstColumn="0" w:lastColumn="0" w:noHBand="0" w:noVBand="1"/>
      </w:tblPr>
      <w:tblGrid>
        <w:gridCol w:w="800"/>
        <w:gridCol w:w="960"/>
        <w:gridCol w:w="1240"/>
        <w:gridCol w:w="278"/>
        <w:gridCol w:w="1195"/>
      </w:tblGrid>
      <w:tr w:rsidR="00AB7C64" w14:paraId="2232A563" w14:textId="77777777">
        <w:trPr>
          <w:trHeight w:val="320"/>
        </w:trPr>
        <w:tc>
          <w:tcPr>
            <w:tcW w:w="800" w:type="dxa"/>
            <w:tcBorders>
              <w:top w:val="single" w:sz="12" w:space="0" w:color="000000"/>
              <w:left w:val="single" w:sz="12" w:space="0" w:color="000000"/>
              <w:bottom w:val="single" w:sz="4" w:space="0" w:color="000000"/>
              <w:right w:val="single" w:sz="4" w:space="0" w:color="000000"/>
            </w:tcBorders>
            <w:shd w:val="clear" w:color="auto" w:fill="FFFFFF"/>
            <w:vAlign w:val="bottom"/>
          </w:tcPr>
          <w:p w14:paraId="5839D68D" w14:textId="77777777" w:rsidR="00AB7C64" w:rsidRDefault="00585A9D">
            <w:pPr>
              <w:spacing w:after="0" w:line="240" w:lineRule="auto"/>
              <w:jc w:val="center"/>
              <w:rPr>
                <w:rFonts w:ascii="Arial" w:eastAsia="Arial" w:hAnsi="Arial" w:cs="Arial"/>
                <w:b/>
              </w:rPr>
            </w:pPr>
            <w:r>
              <w:rPr>
                <w:rFonts w:ascii="Arial" w:eastAsia="Arial" w:hAnsi="Arial" w:cs="Arial"/>
                <w:b/>
              </w:rPr>
              <w:t> </w:t>
            </w:r>
          </w:p>
        </w:tc>
        <w:tc>
          <w:tcPr>
            <w:tcW w:w="960" w:type="dxa"/>
            <w:tcBorders>
              <w:top w:val="single" w:sz="12" w:space="0" w:color="000000"/>
              <w:left w:val="nil"/>
              <w:bottom w:val="nil"/>
              <w:right w:val="single" w:sz="4" w:space="0" w:color="000000"/>
            </w:tcBorders>
            <w:shd w:val="clear" w:color="auto" w:fill="FFFFFF"/>
            <w:vAlign w:val="bottom"/>
          </w:tcPr>
          <w:p w14:paraId="3DE8D396" w14:textId="77777777" w:rsidR="00AB7C64" w:rsidRDefault="00585A9D">
            <w:pPr>
              <w:spacing w:after="0" w:line="240" w:lineRule="auto"/>
              <w:jc w:val="center"/>
              <w:rPr>
                <w:rFonts w:ascii="Arial" w:eastAsia="Arial" w:hAnsi="Arial" w:cs="Arial"/>
                <w:b/>
              </w:rPr>
            </w:pPr>
            <w:r>
              <w:rPr>
                <w:rFonts w:ascii="Arial" w:eastAsia="Arial" w:hAnsi="Arial" w:cs="Arial"/>
                <w:b/>
              </w:rPr>
              <w:t>Price = P</w:t>
            </w:r>
          </w:p>
        </w:tc>
        <w:tc>
          <w:tcPr>
            <w:tcW w:w="1240" w:type="dxa"/>
            <w:tcBorders>
              <w:top w:val="single" w:sz="12" w:space="0" w:color="000000"/>
              <w:left w:val="nil"/>
              <w:bottom w:val="nil"/>
              <w:right w:val="single" w:sz="4" w:space="0" w:color="000000"/>
            </w:tcBorders>
            <w:shd w:val="clear" w:color="auto" w:fill="FFFFFF"/>
            <w:vAlign w:val="bottom"/>
          </w:tcPr>
          <w:p w14:paraId="2809FEB4" w14:textId="77777777" w:rsidR="00AB7C64" w:rsidRDefault="00585A9D">
            <w:pPr>
              <w:spacing w:after="0" w:line="240" w:lineRule="auto"/>
              <w:jc w:val="center"/>
              <w:rPr>
                <w:rFonts w:ascii="Arial" w:eastAsia="Arial" w:hAnsi="Arial" w:cs="Arial"/>
                <w:b/>
              </w:rPr>
            </w:pPr>
            <w:r>
              <w:rPr>
                <w:rFonts w:ascii="Arial" w:eastAsia="Arial" w:hAnsi="Arial" w:cs="Arial"/>
                <w:b/>
              </w:rPr>
              <w:t>Quantity = Q</w:t>
            </w:r>
          </w:p>
        </w:tc>
        <w:tc>
          <w:tcPr>
            <w:tcW w:w="278" w:type="dxa"/>
            <w:tcBorders>
              <w:top w:val="single" w:sz="12" w:space="0" w:color="000000"/>
              <w:left w:val="nil"/>
              <w:bottom w:val="nil"/>
              <w:right w:val="nil"/>
            </w:tcBorders>
            <w:shd w:val="clear" w:color="auto" w:fill="FFFFFF"/>
            <w:vAlign w:val="bottom"/>
          </w:tcPr>
          <w:p w14:paraId="227D17BC" w14:textId="77777777" w:rsidR="00AB7C64" w:rsidRDefault="00585A9D">
            <w:pPr>
              <w:spacing w:after="0" w:line="240" w:lineRule="auto"/>
              <w:rPr>
                <w:rFonts w:ascii="Arial" w:eastAsia="Arial" w:hAnsi="Arial" w:cs="Arial"/>
              </w:rPr>
            </w:pPr>
            <w:r>
              <w:rPr>
                <w:rFonts w:ascii="Arial" w:eastAsia="Arial" w:hAnsi="Arial" w:cs="Arial"/>
              </w:rPr>
              <w:t> </w:t>
            </w:r>
          </w:p>
        </w:tc>
        <w:tc>
          <w:tcPr>
            <w:tcW w:w="1195" w:type="dxa"/>
            <w:tcBorders>
              <w:top w:val="single" w:sz="12" w:space="0" w:color="000000"/>
              <w:left w:val="nil"/>
              <w:bottom w:val="nil"/>
              <w:right w:val="single" w:sz="12" w:space="0" w:color="000000"/>
            </w:tcBorders>
            <w:shd w:val="clear" w:color="auto" w:fill="FFFFFF"/>
            <w:vAlign w:val="bottom"/>
          </w:tcPr>
          <w:p w14:paraId="340440B1" w14:textId="77777777" w:rsidR="00AB7C64" w:rsidRDefault="00585A9D">
            <w:pPr>
              <w:spacing w:after="0" w:line="240" w:lineRule="auto"/>
              <w:jc w:val="center"/>
              <w:rPr>
                <w:rFonts w:ascii="Arial" w:eastAsia="Arial" w:hAnsi="Arial" w:cs="Arial"/>
                <w:b/>
              </w:rPr>
            </w:pPr>
            <w:r>
              <w:rPr>
                <w:rFonts w:ascii="Arial" w:eastAsia="Arial" w:hAnsi="Arial" w:cs="Arial"/>
                <w:b/>
              </w:rPr>
              <w:t>Revenue</w:t>
            </w:r>
          </w:p>
        </w:tc>
      </w:tr>
      <w:tr w:rsidR="00AB7C64" w14:paraId="2F427693" w14:textId="77777777">
        <w:trPr>
          <w:trHeight w:val="300"/>
        </w:trPr>
        <w:tc>
          <w:tcPr>
            <w:tcW w:w="800" w:type="dxa"/>
            <w:tcBorders>
              <w:top w:val="nil"/>
              <w:left w:val="single" w:sz="12" w:space="0" w:color="000000"/>
              <w:bottom w:val="single" w:sz="4" w:space="0" w:color="000000"/>
              <w:right w:val="nil"/>
            </w:tcBorders>
            <w:shd w:val="clear" w:color="auto" w:fill="FFFFFF"/>
            <w:vAlign w:val="bottom"/>
          </w:tcPr>
          <w:p w14:paraId="0BFF8DB3" w14:textId="77777777" w:rsidR="00AB7C64" w:rsidRDefault="00585A9D">
            <w:pPr>
              <w:spacing w:after="0" w:line="240" w:lineRule="auto"/>
              <w:jc w:val="center"/>
              <w:rPr>
                <w:rFonts w:ascii="Arial" w:eastAsia="Arial" w:hAnsi="Arial" w:cs="Arial"/>
                <w:b/>
              </w:rPr>
            </w:pPr>
            <w:r>
              <w:rPr>
                <w:rFonts w:ascii="Arial" w:eastAsia="Arial" w:hAnsi="Arial" w:cs="Arial"/>
                <w:b/>
              </w:rPr>
              <w:t>1</w:t>
            </w:r>
          </w:p>
        </w:tc>
        <w:tc>
          <w:tcPr>
            <w:tcW w:w="960" w:type="dxa"/>
            <w:tcBorders>
              <w:top w:val="single" w:sz="12" w:space="0" w:color="000000"/>
              <w:left w:val="single" w:sz="12" w:space="0" w:color="000000"/>
              <w:bottom w:val="single" w:sz="4" w:space="0" w:color="000000"/>
              <w:right w:val="single" w:sz="4" w:space="0" w:color="000000"/>
            </w:tcBorders>
            <w:shd w:val="clear" w:color="auto" w:fill="FFFF00"/>
            <w:vAlign w:val="bottom"/>
          </w:tcPr>
          <w:p w14:paraId="65EBD17C" w14:textId="77777777" w:rsidR="00AB7C64" w:rsidRDefault="00585A9D">
            <w:pPr>
              <w:spacing w:after="0" w:line="240" w:lineRule="auto"/>
              <w:jc w:val="center"/>
              <w:rPr>
                <w:rFonts w:ascii="Arial" w:eastAsia="Arial" w:hAnsi="Arial" w:cs="Arial"/>
                <w:b/>
              </w:rPr>
            </w:pPr>
            <w:r>
              <w:rPr>
                <w:rFonts w:ascii="Arial" w:eastAsia="Arial" w:hAnsi="Arial" w:cs="Arial"/>
                <w:b/>
              </w:rPr>
              <w:t xml:space="preserve">$10.00 </w:t>
            </w:r>
          </w:p>
        </w:tc>
        <w:tc>
          <w:tcPr>
            <w:tcW w:w="1240" w:type="dxa"/>
            <w:tcBorders>
              <w:top w:val="single" w:sz="12" w:space="0" w:color="000000"/>
              <w:left w:val="nil"/>
              <w:bottom w:val="single" w:sz="4" w:space="0" w:color="000000"/>
              <w:right w:val="single" w:sz="4" w:space="0" w:color="000000"/>
            </w:tcBorders>
            <w:shd w:val="clear" w:color="auto" w:fill="FFFF00"/>
            <w:vAlign w:val="bottom"/>
          </w:tcPr>
          <w:p w14:paraId="22D06A80" w14:textId="77777777" w:rsidR="00AB7C64" w:rsidRDefault="00585A9D">
            <w:pPr>
              <w:spacing w:after="0" w:line="240" w:lineRule="auto"/>
              <w:jc w:val="center"/>
              <w:rPr>
                <w:rFonts w:ascii="Arial" w:eastAsia="Arial" w:hAnsi="Arial" w:cs="Arial"/>
                <w:b/>
              </w:rPr>
            </w:pPr>
            <w:r>
              <w:rPr>
                <w:rFonts w:ascii="Arial" w:eastAsia="Arial" w:hAnsi="Arial" w:cs="Arial"/>
                <w:b/>
              </w:rPr>
              <w:t>500.00</w:t>
            </w:r>
          </w:p>
        </w:tc>
        <w:tc>
          <w:tcPr>
            <w:tcW w:w="278" w:type="dxa"/>
            <w:tcBorders>
              <w:top w:val="single" w:sz="12" w:space="0" w:color="000000"/>
              <w:left w:val="nil"/>
              <w:bottom w:val="single" w:sz="4" w:space="0" w:color="000000"/>
              <w:right w:val="nil"/>
            </w:tcBorders>
            <w:shd w:val="clear" w:color="auto" w:fill="FFFFFF"/>
            <w:vAlign w:val="bottom"/>
          </w:tcPr>
          <w:p w14:paraId="30926BEB" w14:textId="77777777" w:rsidR="00AB7C64" w:rsidRDefault="00585A9D">
            <w:pPr>
              <w:spacing w:after="0" w:line="240" w:lineRule="auto"/>
              <w:rPr>
                <w:rFonts w:ascii="Arial" w:eastAsia="Arial" w:hAnsi="Arial" w:cs="Arial"/>
              </w:rPr>
            </w:pPr>
            <w:r>
              <w:rPr>
                <w:rFonts w:ascii="Arial" w:eastAsia="Arial" w:hAnsi="Arial" w:cs="Arial"/>
              </w:rPr>
              <w:t> </w:t>
            </w:r>
          </w:p>
        </w:tc>
        <w:tc>
          <w:tcPr>
            <w:tcW w:w="1195" w:type="dxa"/>
            <w:tcBorders>
              <w:top w:val="single" w:sz="12" w:space="0" w:color="000000"/>
              <w:left w:val="nil"/>
              <w:bottom w:val="single" w:sz="4" w:space="0" w:color="000000"/>
              <w:right w:val="single" w:sz="12" w:space="0" w:color="000000"/>
            </w:tcBorders>
            <w:shd w:val="clear" w:color="auto" w:fill="FFFFFF"/>
            <w:vAlign w:val="bottom"/>
          </w:tcPr>
          <w:p w14:paraId="7C42F1C8" w14:textId="77777777" w:rsidR="00AB7C64" w:rsidRDefault="00585A9D">
            <w:pPr>
              <w:spacing w:after="0" w:line="240" w:lineRule="auto"/>
              <w:jc w:val="center"/>
              <w:rPr>
                <w:rFonts w:ascii="Arial" w:eastAsia="Arial" w:hAnsi="Arial" w:cs="Arial"/>
                <w:b/>
              </w:rPr>
            </w:pPr>
            <w:r>
              <w:rPr>
                <w:rFonts w:ascii="Arial" w:eastAsia="Arial" w:hAnsi="Arial" w:cs="Arial"/>
                <w:b/>
              </w:rPr>
              <w:t xml:space="preserve">$5,000.00 </w:t>
            </w:r>
          </w:p>
        </w:tc>
      </w:tr>
      <w:tr w:rsidR="00AB7C64" w14:paraId="653DFE33" w14:textId="77777777">
        <w:trPr>
          <w:trHeight w:val="300"/>
        </w:trPr>
        <w:tc>
          <w:tcPr>
            <w:tcW w:w="800" w:type="dxa"/>
            <w:tcBorders>
              <w:top w:val="nil"/>
              <w:left w:val="single" w:sz="12" w:space="0" w:color="000000"/>
              <w:bottom w:val="single" w:sz="12" w:space="0" w:color="000000"/>
              <w:right w:val="nil"/>
            </w:tcBorders>
            <w:shd w:val="clear" w:color="auto" w:fill="FFFFFF"/>
            <w:vAlign w:val="bottom"/>
          </w:tcPr>
          <w:p w14:paraId="23CBB50E" w14:textId="77777777" w:rsidR="00AB7C64" w:rsidRDefault="00585A9D">
            <w:pPr>
              <w:spacing w:after="0" w:line="240" w:lineRule="auto"/>
              <w:jc w:val="center"/>
              <w:rPr>
                <w:rFonts w:ascii="Arial" w:eastAsia="Arial" w:hAnsi="Arial" w:cs="Arial"/>
                <w:b/>
              </w:rPr>
            </w:pPr>
            <w:r>
              <w:rPr>
                <w:rFonts w:ascii="Arial" w:eastAsia="Arial" w:hAnsi="Arial" w:cs="Arial"/>
                <w:b/>
              </w:rPr>
              <w:t>2</w:t>
            </w:r>
          </w:p>
        </w:tc>
        <w:tc>
          <w:tcPr>
            <w:tcW w:w="960" w:type="dxa"/>
            <w:tcBorders>
              <w:top w:val="nil"/>
              <w:left w:val="single" w:sz="12" w:space="0" w:color="000000"/>
              <w:bottom w:val="single" w:sz="12" w:space="0" w:color="000000"/>
              <w:right w:val="single" w:sz="4" w:space="0" w:color="000000"/>
            </w:tcBorders>
            <w:shd w:val="clear" w:color="auto" w:fill="FFFF00"/>
            <w:vAlign w:val="bottom"/>
          </w:tcPr>
          <w:p w14:paraId="58ED90C8" w14:textId="77777777" w:rsidR="00AB7C64" w:rsidRDefault="00585A9D">
            <w:pPr>
              <w:spacing w:after="0" w:line="240" w:lineRule="auto"/>
              <w:jc w:val="center"/>
              <w:rPr>
                <w:rFonts w:ascii="Arial" w:eastAsia="Arial" w:hAnsi="Arial" w:cs="Arial"/>
                <w:b/>
              </w:rPr>
            </w:pPr>
            <w:r>
              <w:rPr>
                <w:rFonts w:ascii="Arial" w:eastAsia="Arial" w:hAnsi="Arial" w:cs="Arial"/>
                <w:b/>
              </w:rPr>
              <w:t xml:space="preserve">$13.00 </w:t>
            </w:r>
          </w:p>
        </w:tc>
        <w:tc>
          <w:tcPr>
            <w:tcW w:w="1240" w:type="dxa"/>
            <w:tcBorders>
              <w:top w:val="nil"/>
              <w:left w:val="nil"/>
              <w:bottom w:val="single" w:sz="12" w:space="0" w:color="000000"/>
              <w:right w:val="single" w:sz="4" w:space="0" w:color="000000"/>
            </w:tcBorders>
            <w:shd w:val="clear" w:color="auto" w:fill="FFFF00"/>
            <w:vAlign w:val="bottom"/>
          </w:tcPr>
          <w:p w14:paraId="2CD8396D" w14:textId="77777777" w:rsidR="00AB7C64" w:rsidRDefault="00585A9D">
            <w:pPr>
              <w:spacing w:after="0" w:line="240" w:lineRule="auto"/>
              <w:jc w:val="center"/>
              <w:rPr>
                <w:rFonts w:ascii="Arial" w:eastAsia="Arial" w:hAnsi="Arial" w:cs="Arial"/>
                <w:b/>
              </w:rPr>
            </w:pPr>
            <w:r>
              <w:rPr>
                <w:rFonts w:ascii="Arial" w:eastAsia="Arial" w:hAnsi="Arial" w:cs="Arial"/>
                <w:b/>
              </w:rPr>
              <w:t>425.00</w:t>
            </w:r>
          </w:p>
        </w:tc>
        <w:tc>
          <w:tcPr>
            <w:tcW w:w="278" w:type="dxa"/>
            <w:tcBorders>
              <w:top w:val="nil"/>
              <w:left w:val="nil"/>
              <w:bottom w:val="single" w:sz="12" w:space="0" w:color="000000"/>
              <w:right w:val="nil"/>
            </w:tcBorders>
            <w:shd w:val="clear" w:color="auto" w:fill="FFFFFF"/>
            <w:vAlign w:val="bottom"/>
          </w:tcPr>
          <w:p w14:paraId="7E1FCC3B" w14:textId="77777777" w:rsidR="00AB7C64" w:rsidRDefault="00585A9D">
            <w:pPr>
              <w:spacing w:after="0" w:line="240" w:lineRule="auto"/>
              <w:rPr>
                <w:rFonts w:ascii="Arial" w:eastAsia="Arial" w:hAnsi="Arial" w:cs="Arial"/>
              </w:rPr>
            </w:pPr>
            <w:r>
              <w:rPr>
                <w:rFonts w:ascii="Arial" w:eastAsia="Arial" w:hAnsi="Arial" w:cs="Arial"/>
              </w:rPr>
              <w:t> </w:t>
            </w:r>
          </w:p>
        </w:tc>
        <w:tc>
          <w:tcPr>
            <w:tcW w:w="1195" w:type="dxa"/>
            <w:tcBorders>
              <w:top w:val="nil"/>
              <w:left w:val="nil"/>
              <w:bottom w:val="single" w:sz="12" w:space="0" w:color="000000"/>
              <w:right w:val="single" w:sz="12" w:space="0" w:color="000000"/>
            </w:tcBorders>
            <w:shd w:val="clear" w:color="auto" w:fill="FFFFFF"/>
            <w:vAlign w:val="bottom"/>
          </w:tcPr>
          <w:p w14:paraId="24EAF822" w14:textId="77777777" w:rsidR="00AB7C64" w:rsidRDefault="00585A9D">
            <w:pPr>
              <w:spacing w:after="0" w:line="240" w:lineRule="auto"/>
              <w:jc w:val="center"/>
              <w:rPr>
                <w:rFonts w:ascii="Arial" w:eastAsia="Arial" w:hAnsi="Arial" w:cs="Arial"/>
                <w:b/>
              </w:rPr>
            </w:pPr>
            <w:r>
              <w:rPr>
                <w:rFonts w:ascii="Arial" w:eastAsia="Arial" w:hAnsi="Arial" w:cs="Arial"/>
                <w:b/>
              </w:rPr>
              <w:t xml:space="preserve">$5,525.00 </w:t>
            </w:r>
          </w:p>
        </w:tc>
      </w:tr>
    </w:tbl>
    <w:p w14:paraId="164DE02B" w14:textId="77777777" w:rsidR="00AB7C64" w:rsidRDefault="00585A9D">
      <w:pPr>
        <w:rPr>
          <w:rFonts w:ascii="Arial" w:eastAsia="Arial" w:hAnsi="Arial" w:cs="Arial"/>
        </w:rPr>
      </w:pPr>
      <w:r>
        <w:rPr>
          <w:rFonts w:ascii="Arial" w:eastAsia="Arial" w:hAnsi="Arial" w:cs="Arial"/>
        </w:rPr>
        <w:t>and</w:t>
      </w:r>
    </w:p>
    <w:tbl>
      <w:tblPr>
        <w:tblStyle w:val="a0"/>
        <w:tblW w:w="4653" w:type="dxa"/>
        <w:tblInd w:w="-21" w:type="dxa"/>
        <w:tblLayout w:type="fixed"/>
        <w:tblLook w:val="0400" w:firstRow="0" w:lastRow="0" w:firstColumn="0" w:lastColumn="0" w:noHBand="0" w:noVBand="1"/>
      </w:tblPr>
      <w:tblGrid>
        <w:gridCol w:w="960"/>
        <w:gridCol w:w="960"/>
        <w:gridCol w:w="1260"/>
        <w:gridCol w:w="278"/>
        <w:gridCol w:w="1195"/>
      </w:tblGrid>
      <w:tr w:rsidR="00AB7C64" w14:paraId="4326789F" w14:textId="77777777">
        <w:trPr>
          <w:trHeight w:val="320"/>
        </w:trPr>
        <w:tc>
          <w:tcPr>
            <w:tcW w:w="960" w:type="dxa"/>
            <w:tcBorders>
              <w:top w:val="single" w:sz="12" w:space="0" w:color="000000"/>
              <w:left w:val="single" w:sz="12" w:space="0" w:color="000000"/>
              <w:bottom w:val="single" w:sz="4" w:space="0" w:color="000000"/>
              <w:right w:val="single" w:sz="4" w:space="0" w:color="000000"/>
            </w:tcBorders>
            <w:shd w:val="clear" w:color="auto" w:fill="FFFFFF"/>
            <w:vAlign w:val="bottom"/>
          </w:tcPr>
          <w:p w14:paraId="449D8BD7" w14:textId="77777777" w:rsidR="00AB7C64" w:rsidRDefault="00585A9D">
            <w:pPr>
              <w:spacing w:after="0" w:line="240" w:lineRule="auto"/>
              <w:jc w:val="center"/>
              <w:rPr>
                <w:rFonts w:ascii="Arial" w:eastAsia="Arial" w:hAnsi="Arial" w:cs="Arial"/>
                <w:b/>
              </w:rPr>
            </w:pPr>
            <w:r>
              <w:rPr>
                <w:rFonts w:ascii="Arial" w:eastAsia="Arial" w:hAnsi="Arial" w:cs="Arial"/>
                <w:b/>
              </w:rPr>
              <w:t> </w:t>
            </w:r>
          </w:p>
        </w:tc>
        <w:tc>
          <w:tcPr>
            <w:tcW w:w="960" w:type="dxa"/>
            <w:tcBorders>
              <w:top w:val="single" w:sz="12" w:space="0" w:color="000000"/>
              <w:left w:val="nil"/>
              <w:bottom w:val="nil"/>
              <w:right w:val="single" w:sz="4" w:space="0" w:color="000000"/>
            </w:tcBorders>
            <w:shd w:val="clear" w:color="auto" w:fill="FFFFFF"/>
            <w:vAlign w:val="bottom"/>
          </w:tcPr>
          <w:p w14:paraId="6B0A961D" w14:textId="77777777" w:rsidR="00AB7C64" w:rsidRDefault="00585A9D">
            <w:pPr>
              <w:spacing w:after="0" w:line="240" w:lineRule="auto"/>
              <w:jc w:val="center"/>
              <w:rPr>
                <w:rFonts w:ascii="Arial" w:eastAsia="Arial" w:hAnsi="Arial" w:cs="Arial"/>
                <w:b/>
              </w:rPr>
            </w:pPr>
            <w:r>
              <w:rPr>
                <w:rFonts w:ascii="Arial" w:eastAsia="Arial" w:hAnsi="Arial" w:cs="Arial"/>
                <w:b/>
              </w:rPr>
              <w:t>Price = P</w:t>
            </w:r>
          </w:p>
        </w:tc>
        <w:tc>
          <w:tcPr>
            <w:tcW w:w="1260" w:type="dxa"/>
            <w:tcBorders>
              <w:top w:val="single" w:sz="12" w:space="0" w:color="000000"/>
              <w:left w:val="nil"/>
              <w:bottom w:val="nil"/>
              <w:right w:val="single" w:sz="4" w:space="0" w:color="000000"/>
            </w:tcBorders>
            <w:shd w:val="clear" w:color="auto" w:fill="FFFFFF"/>
            <w:vAlign w:val="bottom"/>
          </w:tcPr>
          <w:p w14:paraId="102DBCAA" w14:textId="77777777" w:rsidR="00AB7C64" w:rsidRDefault="00585A9D">
            <w:pPr>
              <w:spacing w:after="0" w:line="240" w:lineRule="auto"/>
              <w:jc w:val="center"/>
              <w:rPr>
                <w:rFonts w:ascii="Arial" w:eastAsia="Arial" w:hAnsi="Arial" w:cs="Arial"/>
                <w:b/>
              </w:rPr>
            </w:pPr>
            <w:r>
              <w:rPr>
                <w:rFonts w:ascii="Arial" w:eastAsia="Arial" w:hAnsi="Arial" w:cs="Arial"/>
                <w:b/>
              </w:rPr>
              <w:t>Quantity = Q</w:t>
            </w:r>
          </w:p>
        </w:tc>
        <w:tc>
          <w:tcPr>
            <w:tcW w:w="278" w:type="dxa"/>
            <w:tcBorders>
              <w:top w:val="single" w:sz="12" w:space="0" w:color="000000"/>
              <w:left w:val="nil"/>
              <w:bottom w:val="nil"/>
              <w:right w:val="nil"/>
            </w:tcBorders>
            <w:shd w:val="clear" w:color="auto" w:fill="FFFFFF"/>
            <w:vAlign w:val="bottom"/>
          </w:tcPr>
          <w:p w14:paraId="45AB8F6A" w14:textId="77777777" w:rsidR="00AB7C64" w:rsidRDefault="00585A9D">
            <w:pPr>
              <w:spacing w:after="0" w:line="240" w:lineRule="auto"/>
              <w:rPr>
                <w:rFonts w:ascii="Arial" w:eastAsia="Arial" w:hAnsi="Arial" w:cs="Arial"/>
              </w:rPr>
            </w:pPr>
            <w:r>
              <w:rPr>
                <w:rFonts w:ascii="Arial" w:eastAsia="Arial" w:hAnsi="Arial" w:cs="Arial"/>
              </w:rPr>
              <w:t> </w:t>
            </w:r>
          </w:p>
        </w:tc>
        <w:tc>
          <w:tcPr>
            <w:tcW w:w="1195" w:type="dxa"/>
            <w:tcBorders>
              <w:top w:val="single" w:sz="12" w:space="0" w:color="000000"/>
              <w:left w:val="nil"/>
              <w:bottom w:val="nil"/>
              <w:right w:val="single" w:sz="12" w:space="0" w:color="000000"/>
            </w:tcBorders>
            <w:shd w:val="clear" w:color="auto" w:fill="FFFFFF"/>
            <w:vAlign w:val="bottom"/>
          </w:tcPr>
          <w:p w14:paraId="61A99E30" w14:textId="77777777" w:rsidR="00AB7C64" w:rsidRDefault="00585A9D">
            <w:pPr>
              <w:spacing w:after="0" w:line="240" w:lineRule="auto"/>
              <w:jc w:val="center"/>
              <w:rPr>
                <w:rFonts w:ascii="Arial" w:eastAsia="Arial" w:hAnsi="Arial" w:cs="Arial"/>
                <w:b/>
              </w:rPr>
            </w:pPr>
            <w:r>
              <w:rPr>
                <w:rFonts w:ascii="Arial" w:eastAsia="Arial" w:hAnsi="Arial" w:cs="Arial"/>
                <w:b/>
              </w:rPr>
              <w:t>Revenue</w:t>
            </w:r>
          </w:p>
        </w:tc>
      </w:tr>
      <w:tr w:rsidR="00AB7C64" w14:paraId="02725752" w14:textId="77777777">
        <w:trPr>
          <w:trHeight w:val="300"/>
        </w:trPr>
        <w:tc>
          <w:tcPr>
            <w:tcW w:w="960" w:type="dxa"/>
            <w:tcBorders>
              <w:top w:val="nil"/>
              <w:left w:val="single" w:sz="12" w:space="0" w:color="000000"/>
              <w:bottom w:val="single" w:sz="4" w:space="0" w:color="000000"/>
              <w:right w:val="nil"/>
            </w:tcBorders>
            <w:shd w:val="clear" w:color="auto" w:fill="FFFFFF"/>
            <w:vAlign w:val="bottom"/>
          </w:tcPr>
          <w:p w14:paraId="35EE35CB" w14:textId="77777777" w:rsidR="00AB7C64" w:rsidRDefault="00585A9D">
            <w:pPr>
              <w:spacing w:after="0" w:line="240" w:lineRule="auto"/>
              <w:jc w:val="center"/>
              <w:rPr>
                <w:rFonts w:ascii="Arial" w:eastAsia="Arial" w:hAnsi="Arial" w:cs="Arial"/>
                <w:b/>
              </w:rPr>
            </w:pPr>
            <w:r>
              <w:rPr>
                <w:rFonts w:ascii="Arial" w:eastAsia="Arial" w:hAnsi="Arial" w:cs="Arial"/>
                <w:b/>
              </w:rPr>
              <w:t>1</w:t>
            </w:r>
          </w:p>
        </w:tc>
        <w:tc>
          <w:tcPr>
            <w:tcW w:w="960" w:type="dxa"/>
            <w:tcBorders>
              <w:top w:val="single" w:sz="12" w:space="0" w:color="000000"/>
              <w:left w:val="single" w:sz="12" w:space="0" w:color="000000"/>
              <w:bottom w:val="single" w:sz="4" w:space="0" w:color="000000"/>
              <w:right w:val="single" w:sz="4" w:space="0" w:color="000000"/>
            </w:tcBorders>
            <w:shd w:val="clear" w:color="auto" w:fill="FFFF00"/>
            <w:vAlign w:val="bottom"/>
          </w:tcPr>
          <w:p w14:paraId="0E9271E9" w14:textId="77777777" w:rsidR="00AB7C64" w:rsidRDefault="00585A9D">
            <w:pPr>
              <w:spacing w:after="0" w:line="240" w:lineRule="auto"/>
              <w:jc w:val="center"/>
              <w:rPr>
                <w:rFonts w:ascii="Arial" w:eastAsia="Arial" w:hAnsi="Arial" w:cs="Arial"/>
                <w:b/>
              </w:rPr>
            </w:pPr>
            <w:r>
              <w:rPr>
                <w:rFonts w:ascii="Arial" w:eastAsia="Arial" w:hAnsi="Arial" w:cs="Arial"/>
                <w:b/>
              </w:rPr>
              <w:t xml:space="preserve">$13.00 </w:t>
            </w:r>
          </w:p>
        </w:tc>
        <w:tc>
          <w:tcPr>
            <w:tcW w:w="1260" w:type="dxa"/>
            <w:tcBorders>
              <w:top w:val="single" w:sz="12" w:space="0" w:color="000000"/>
              <w:left w:val="nil"/>
              <w:bottom w:val="single" w:sz="4" w:space="0" w:color="000000"/>
              <w:right w:val="single" w:sz="4" w:space="0" w:color="000000"/>
            </w:tcBorders>
            <w:shd w:val="clear" w:color="auto" w:fill="FFFF00"/>
            <w:vAlign w:val="bottom"/>
          </w:tcPr>
          <w:p w14:paraId="23289DDC" w14:textId="77777777" w:rsidR="00AB7C64" w:rsidRDefault="00585A9D">
            <w:pPr>
              <w:spacing w:after="0" w:line="240" w:lineRule="auto"/>
              <w:jc w:val="center"/>
              <w:rPr>
                <w:rFonts w:ascii="Arial" w:eastAsia="Arial" w:hAnsi="Arial" w:cs="Arial"/>
                <w:b/>
              </w:rPr>
            </w:pPr>
            <w:r>
              <w:rPr>
                <w:rFonts w:ascii="Arial" w:eastAsia="Arial" w:hAnsi="Arial" w:cs="Arial"/>
                <w:b/>
              </w:rPr>
              <w:t>425.00</w:t>
            </w:r>
          </w:p>
        </w:tc>
        <w:tc>
          <w:tcPr>
            <w:tcW w:w="278" w:type="dxa"/>
            <w:tcBorders>
              <w:top w:val="single" w:sz="12" w:space="0" w:color="000000"/>
              <w:left w:val="nil"/>
              <w:bottom w:val="single" w:sz="4" w:space="0" w:color="000000"/>
              <w:right w:val="nil"/>
            </w:tcBorders>
            <w:shd w:val="clear" w:color="auto" w:fill="FFFFFF"/>
            <w:vAlign w:val="bottom"/>
          </w:tcPr>
          <w:p w14:paraId="683CCCD2" w14:textId="77777777" w:rsidR="00AB7C64" w:rsidRDefault="00585A9D">
            <w:pPr>
              <w:spacing w:after="0" w:line="240" w:lineRule="auto"/>
              <w:rPr>
                <w:rFonts w:ascii="Arial" w:eastAsia="Arial" w:hAnsi="Arial" w:cs="Arial"/>
              </w:rPr>
            </w:pPr>
            <w:r>
              <w:rPr>
                <w:rFonts w:ascii="Arial" w:eastAsia="Arial" w:hAnsi="Arial" w:cs="Arial"/>
              </w:rPr>
              <w:t> </w:t>
            </w:r>
          </w:p>
        </w:tc>
        <w:tc>
          <w:tcPr>
            <w:tcW w:w="1195" w:type="dxa"/>
            <w:tcBorders>
              <w:top w:val="single" w:sz="12" w:space="0" w:color="000000"/>
              <w:left w:val="nil"/>
              <w:bottom w:val="single" w:sz="4" w:space="0" w:color="000000"/>
              <w:right w:val="single" w:sz="12" w:space="0" w:color="000000"/>
            </w:tcBorders>
            <w:shd w:val="clear" w:color="auto" w:fill="FFFFFF"/>
            <w:vAlign w:val="bottom"/>
          </w:tcPr>
          <w:p w14:paraId="7F8A9490" w14:textId="77777777" w:rsidR="00AB7C64" w:rsidRDefault="00585A9D">
            <w:pPr>
              <w:spacing w:after="0" w:line="240" w:lineRule="auto"/>
              <w:jc w:val="center"/>
              <w:rPr>
                <w:rFonts w:ascii="Arial" w:eastAsia="Arial" w:hAnsi="Arial" w:cs="Arial"/>
                <w:b/>
              </w:rPr>
            </w:pPr>
            <w:r>
              <w:rPr>
                <w:rFonts w:ascii="Arial" w:eastAsia="Arial" w:hAnsi="Arial" w:cs="Arial"/>
                <w:b/>
              </w:rPr>
              <w:t xml:space="preserve">$5,525.00 </w:t>
            </w:r>
          </w:p>
        </w:tc>
      </w:tr>
      <w:tr w:rsidR="00AB7C64" w14:paraId="0C67AC1A" w14:textId="77777777">
        <w:trPr>
          <w:trHeight w:val="300"/>
        </w:trPr>
        <w:tc>
          <w:tcPr>
            <w:tcW w:w="960" w:type="dxa"/>
            <w:tcBorders>
              <w:top w:val="nil"/>
              <w:left w:val="single" w:sz="12" w:space="0" w:color="000000"/>
              <w:bottom w:val="single" w:sz="12" w:space="0" w:color="000000"/>
              <w:right w:val="nil"/>
            </w:tcBorders>
            <w:shd w:val="clear" w:color="auto" w:fill="FFFFFF"/>
            <w:vAlign w:val="bottom"/>
          </w:tcPr>
          <w:p w14:paraId="778C93C4" w14:textId="77777777" w:rsidR="00AB7C64" w:rsidRDefault="00585A9D">
            <w:pPr>
              <w:spacing w:after="0" w:line="240" w:lineRule="auto"/>
              <w:jc w:val="center"/>
              <w:rPr>
                <w:rFonts w:ascii="Arial" w:eastAsia="Arial" w:hAnsi="Arial" w:cs="Arial"/>
                <w:b/>
              </w:rPr>
            </w:pPr>
            <w:r>
              <w:rPr>
                <w:rFonts w:ascii="Arial" w:eastAsia="Arial" w:hAnsi="Arial" w:cs="Arial"/>
                <w:b/>
              </w:rPr>
              <w:t>2</w:t>
            </w:r>
          </w:p>
        </w:tc>
        <w:tc>
          <w:tcPr>
            <w:tcW w:w="960" w:type="dxa"/>
            <w:tcBorders>
              <w:top w:val="nil"/>
              <w:left w:val="single" w:sz="12" w:space="0" w:color="000000"/>
              <w:bottom w:val="single" w:sz="12" w:space="0" w:color="000000"/>
              <w:right w:val="single" w:sz="4" w:space="0" w:color="000000"/>
            </w:tcBorders>
            <w:shd w:val="clear" w:color="auto" w:fill="FFFF00"/>
            <w:vAlign w:val="bottom"/>
          </w:tcPr>
          <w:p w14:paraId="670DC223" w14:textId="77777777" w:rsidR="00AB7C64" w:rsidRDefault="00585A9D">
            <w:pPr>
              <w:spacing w:after="0" w:line="240" w:lineRule="auto"/>
              <w:jc w:val="center"/>
              <w:rPr>
                <w:rFonts w:ascii="Arial" w:eastAsia="Arial" w:hAnsi="Arial" w:cs="Arial"/>
                <w:b/>
              </w:rPr>
            </w:pPr>
            <w:r>
              <w:rPr>
                <w:rFonts w:ascii="Arial" w:eastAsia="Arial" w:hAnsi="Arial" w:cs="Arial"/>
                <w:b/>
              </w:rPr>
              <w:t xml:space="preserve">$16.00 </w:t>
            </w:r>
          </w:p>
        </w:tc>
        <w:tc>
          <w:tcPr>
            <w:tcW w:w="1260" w:type="dxa"/>
            <w:tcBorders>
              <w:top w:val="nil"/>
              <w:left w:val="nil"/>
              <w:bottom w:val="single" w:sz="12" w:space="0" w:color="000000"/>
              <w:right w:val="single" w:sz="4" w:space="0" w:color="000000"/>
            </w:tcBorders>
            <w:shd w:val="clear" w:color="auto" w:fill="FF0000"/>
            <w:vAlign w:val="bottom"/>
          </w:tcPr>
          <w:p w14:paraId="15DD93E8" w14:textId="77777777" w:rsidR="00AB7C64" w:rsidRDefault="00585A9D">
            <w:pPr>
              <w:spacing w:after="0" w:line="240" w:lineRule="auto"/>
              <w:jc w:val="center"/>
              <w:rPr>
                <w:rFonts w:ascii="Arial" w:eastAsia="Arial" w:hAnsi="Arial" w:cs="Arial"/>
                <w:b/>
              </w:rPr>
            </w:pPr>
            <w:r>
              <w:rPr>
                <w:rFonts w:ascii="Arial" w:eastAsia="Arial" w:hAnsi="Arial" w:cs="Arial"/>
                <w:b/>
              </w:rPr>
              <w:t>150.00</w:t>
            </w:r>
          </w:p>
        </w:tc>
        <w:tc>
          <w:tcPr>
            <w:tcW w:w="278" w:type="dxa"/>
            <w:tcBorders>
              <w:top w:val="nil"/>
              <w:left w:val="nil"/>
              <w:bottom w:val="single" w:sz="12" w:space="0" w:color="000000"/>
              <w:right w:val="nil"/>
            </w:tcBorders>
            <w:shd w:val="clear" w:color="auto" w:fill="FFFFFF"/>
            <w:vAlign w:val="bottom"/>
          </w:tcPr>
          <w:p w14:paraId="707FE0ED" w14:textId="77777777" w:rsidR="00AB7C64" w:rsidRDefault="00585A9D">
            <w:pPr>
              <w:spacing w:after="0" w:line="240" w:lineRule="auto"/>
              <w:rPr>
                <w:rFonts w:ascii="Arial" w:eastAsia="Arial" w:hAnsi="Arial" w:cs="Arial"/>
              </w:rPr>
            </w:pPr>
            <w:r>
              <w:rPr>
                <w:rFonts w:ascii="Arial" w:eastAsia="Arial" w:hAnsi="Arial" w:cs="Arial"/>
              </w:rPr>
              <w:t> </w:t>
            </w:r>
          </w:p>
        </w:tc>
        <w:tc>
          <w:tcPr>
            <w:tcW w:w="1195" w:type="dxa"/>
            <w:tcBorders>
              <w:top w:val="nil"/>
              <w:left w:val="nil"/>
              <w:bottom w:val="single" w:sz="12" w:space="0" w:color="000000"/>
              <w:right w:val="single" w:sz="12" w:space="0" w:color="000000"/>
            </w:tcBorders>
            <w:shd w:val="clear" w:color="auto" w:fill="FFFFFF"/>
            <w:vAlign w:val="bottom"/>
          </w:tcPr>
          <w:p w14:paraId="74E4E665" w14:textId="77777777" w:rsidR="00AB7C64" w:rsidRDefault="00585A9D">
            <w:pPr>
              <w:spacing w:after="0" w:line="240" w:lineRule="auto"/>
              <w:jc w:val="center"/>
              <w:rPr>
                <w:rFonts w:ascii="Arial" w:eastAsia="Arial" w:hAnsi="Arial" w:cs="Arial"/>
                <w:b/>
              </w:rPr>
            </w:pPr>
            <w:r>
              <w:rPr>
                <w:rFonts w:ascii="Arial" w:eastAsia="Arial" w:hAnsi="Arial" w:cs="Arial"/>
                <w:b/>
              </w:rPr>
              <w:t xml:space="preserve">$2,400.00 </w:t>
            </w:r>
          </w:p>
        </w:tc>
      </w:tr>
    </w:tbl>
    <w:p w14:paraId="00421B38" w14:textId="77777777" w:rsidR="00AB7C64" w:rsidRDefault="00AB7C64">
      <w:pPr>
        <w:rPr>
          <w:rFonts w:ascii="Arial" w:eastAsia="Arial" w:hAnsi="Arial" w:cs="Arial"/>
        </w:rPr>
      </w:pPr>
    </w:p>
    <w:p w14:paraId="031AE88C" w14:textId="77777777" w:rsidR="00AB7C64" w:rsidRDefault="00585A9D">
      <w:pPr>
        <w:rPr>
          <w:rFonts w:ascii="Arial" w:eastAsia="Arial" w:hAnsi="Arial" w:cs="Arial"/>
        </w:rPr>
      </w:pPr>
      <w:r>
        <w:rPr>
          <w:rFonts w:ascii="Arial" w:eastAsia="Arial" w:hAnsi="Arial" w:cs="Arial"/>
        </w:rPr>
        <w:t>1. Using the midpoint method, what is the price elasticity of demand between $10.00 and $13.00?</w:t>
      </w:r>
    </w:p>
    <w:p w14:paraId="3A57F4FD" w14:textId="77777777" w:rsidR="00AB7C64" w:rsidRDefault="00585A9D">
      <w:pPr>
        <w:rPr>
          <w:rFonts w:ascii="Arial" w:eastAsia="Arial" w:hAnsi="Arial" w:cs="Arial"/>
        </w:rPr>
      </w:pPr>
      <w:r>
        <w:rPr>
          <w:rFonts w:ascii="Arial" w:eastAsia="Arial" w:hAnsi="Arial" w:cs="Arial"/>
        </w:rPr>
        <w:t>2. Using the midpoint method, what is the price elasticity of demand between $13.00 and $16.00?</w:t>
      </w:r>
    </w:p>
    <w:p w14:paraId="5B5E639D" w14:textId="77777777" w:rsidR="00AB7C64" w:rsidRDefault="00585A9D">
      <w:pPr>
        <w:rPr>
          <w:rFonts w:ascii="Arial" w:eastAsia="Arial" w:hAnsi="Arial" w:cs="Arial"/>
        </w:rPr>
      </w:pPr>
      <w:r>
        <w:rPr>
          <w:rFonts w:ascii="Arial" w:eastAsia="Arial" w:hAnsi="Arial" w:cs="Arial"/>
        </w:rPr>
        <w:t>The basic computation is to divide the % change in price into th</w:t>
      </w:r>
      <w:r>
        <w:rPr>
          <w:rFonts w:ascii="Arial" w:eastAsia="Arial" w:hAnsi="Arial" w:cs="Arial"/>
        </w:rPr>
        <w:t>e % change in quantity sold for each problem.</w:t>
      </w:r>
    </w:p>
    <w:p w14:paraId="4F207685" w14:textId="77777777" w:rsidR="00AB7C64" w:rsidRDefault="00585A9D">
      <w:pPr>
        <w:rPr>
          <w:rFonts w:ascii="Arial" w:eastAsia="Arial" w:hAnsi="Arial" w:cs="Arial"/>
        </w:rPr>
      </w:pPr>
      <w:r>
        <w:rPr>
          <w:rFonts w:ascii="Arial" w:eastAsia="Arial" w:hAnsi="Arial" w:cs="Arial"/>
        </w:rPr>
        <w:t xml:space="preserve">The midpoint method creates a double division calculation (quantity on the top division calculation and price on the bottom division calculation).  </w:t>
      </w:r>
    </w:p>
    <w:p w14:paraId="2B6FA927" w14:textId="77777777" w:rsidR="00AB7C64" w:rsidRDefault="00585A9D">
      <w:pPr>
        <w:rPr>
          <w:rFonts w:ascii="Arial" w:eastAsia="Arial" w:hAnsi="Arial" w:cs="Arial"/>
        </w:rPr>
      </w:pPr>
      <w:r>
        <w:rPr>
          <w:rFonts w:ascii="Arial" w:eastAsia="Arial" w:hAnsi="Arial" w:cs="Arial"/>
        </w:rPr>
        <w:t>Remember that in math, do what is inside the parentheses firs</w:t>
      </w:r>
      <w:r>
        <w:rPr>
          <w:rFonts w:ascii="Arial" w:eastAsia="Arial" w:hAnsi="Arial" w:cs="Arial"/>
        </w:rPr>
        <w:t>t.</w:t>
      </w:r>
    </w:p>
    <w:p w14:paraId="75B91907" w14:textId="77777777" w:rsidR="00AB7C64" w:rsidRDefault="00585A9D">
      <w:pPr>
        <w:rPr>
          <w:rFonts w:ascii="Arial" w:eastAsia="Arial" w:hAnsi="Arial" w:cs="Arial"/>
        </w:rPr>
      </w:pPr>
      <w:r>
        <w:rPr>
          <w:rFonts w:ascii="Arial" w:eastAsia="Arial" w:hAnsi="Arial" w:cs="Arial"/>
        </w:rPr>
        <w:t>Step 1 inserts the values from the problem (and in the table at the top) into the formula.</w:t>
      </w:r>
    </w:p>
    <w:p w14:paraId="590215E8" w14:textId="77777777" w:rsidR="00AB7C64" w:rsidRDefault="00585A9D">
      <w:pPr>
        <w:rPr>
          <w:rFonts w:ascii="Arial" w:eastAsia="Arial" w:hAnsi="Arial" w:cs="Arial"/>
        </w:rPr>
      </w:pPr>
      <w:r>
        <w:rPr>
          <w:rFonts w:ascii="Arial" w:eastAsia="Arial" w:hAnsi="Arial" w:cs="Arial"/>
        </w:rPr>
        <w:t>Step 2 first adds the values inside the parentheses for the bottom (denominator) of the quantity calculation on the top. Then it adds the values inside the parent</w:t>
      </w:r>
      <w:r>
        <w:rPr>
          <w:rFonts w:ascii="Arial" w:eastAsia="Arial" w:hAnsi="Arial" w:cs="Arial"/>
        </w:rPr>
        <w:t>heses for the denominator of the price calculation on the bottom. It then subtracts the values in the top (numerator) of the quantity calculations on the top. Finally it subtracts the values in the numerator of the price calculation on the bottom.</w:t>
      </w:r>
    </w:p>
    <w:p w14:paraId="400F4291" w14:textId="77777777" w:rsidR="00AB7C64" w:rsidRDefault="00585A9D">
      <w:pPr>
        <w:rPr>
          <w:rFonts w:ascii="Arial" w:eastAsia="Arial" w:hAnsi="Arial" w:cs="Arial"/>
        </w:rPr>
      </w:pPr>
      <w:r>
        <w:rPr>
          <w:rFonts w:ascii="Arial" w:eastAsia="Arial" w:hAnsi="Arial" w:cs="Arial"/>
        </w:rPr>
        <w:t>Step 3 d</w:t>
      </w:r>
      <w:r>
        <w:rPr>
          <w:rFonts w:ascii="Arial" w:eastAsia="Arial" w:hAnsi="Arial" w:cs="Arial"/>
        </w:rPr>
        <w:t>ivides the denominator of the quantity calculation by 2 and divides the denominator of the price calculation by 2 (to get the midpoint of the quantity and of the price).</w:t>
      </w:r>
    </w:p>
    <w:p w14:paraId="247993FD" w14:textId="77777777" w:rsidR="00AB7C64" w:rsidRDefault="00585A9D">
      <w:pPr>
        <w:rPr>
          <w:rFonts w:ascii="Arial" w:eastAsia="Arial" w:hAnsi="Arial" w:cs="Arial"/>
        </w:rPr>
      </w:pPr>
      <w:r>
        <w:rPr>
          <w:rFonts w:ascii="Arial" w:eastAsia="Arial" w:hAnsi="Arial" w:cs="Arial"/>
        </w:rPr>
        <w:lastRenderedPageBreak/>
        <w:t>Step 4 divides the denominator of the quantity calculation into the quantity numerator</w:t>
      </w:r>
      <w:r>
        <w:rPr>
          <w:rFonts w:ascii="Arial" w:eastAsia="Arial" w:hAnsi="Arial" w:cs="Arial"/>
        </w:rPr>
        <w:t xml:space="preserve"> and then divides the price denominator into the price numerator.</w:t>
      </w:r>
    </w:p>
    <w:p w14:paraId="672F062F" w14:textId="77777777" w:rsidR="00AB7C64" w:rsidRDefault="00585A9D">
      <w:pPr>
        <w:rPr>
          <w:rFonts w:ascii="Arial" w:eastAsia="Arial" w:hAnsi="Arial" w:cs="Arial"/>
        </w:rPr>
      </w:pPr>
      <w:r>
        <w:rPr>
          <w:rFonts w:ascii="Arial" w:eastAsia="Arial" w:hAnsi="Arial" w:cs="Arial"/>
        </w:rPr>
        <w:t>Step 5 does the final division by dividing the price calculation into the quantity calculation.</w:t>
      </w:r>
    </w:p>
    <w:p w14:paraId="120D1889" w14:textId="77777777" w:rsidR="00AB7C64" w:rsidRDefault="00585A9D">
      <w:pPr>
        <w:rPr>
          <w:rFonts w:ascii="Arial" w:eastAsia="Arial" w:hAnsi="Arial" w:cs="Arial"/>
        </w:rPr>
      </w:pPr>
      <w:r>
        <w:rPr>
          <w:rFonts w:ascii="Arial" w:eastAsia="Arial" w:hAnsi="Arial" w:cs="Arial"/>
        </w:rPr>
        <w:t>Step 6 drops the minus sign, leaving just the number</w:t>
      </w:r>
    </w:p>
    <w:p w14:paraId="1B7302FC" w14:textId="77777777" w:rsidR="00AB7C64" w:rsidRDefault="00585A9D">
      <w:pPr>
        <w:rPr>
          <w:rFonts w:ascii="Arial" w:eastAsia="Arial" w:hAnsi="Arial" w:cs="Arial"/>
        </w:rPr>
      </w:pPr>
      <w:r>
        <w:rPr>
          <w:noProof/>
        </w:rPr>
        <w:lastRenderedPageBreak/>
        <w:drawing>
          <wp:inline distT="0" distB="0" distL="0" distR="0" wp14:anchorId="52FBFE69" wp14:editId="285BE9C6">
            <wp:extent cx="5172710" cy="7772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172710" cy="7772400"/>
                    </a:xfrm>
                    <a:prstGeom prst="rect">
                      <a:avLst/>
                    </a:prstGeom>
                    <a:ln/>
                  </pic:spPr>
                </pic:pic>
              </a:graphicData>
            </a:graphic>
          </wp:inline>
        </w:drawing>
      </w:r>
    </w:p>
    <w:p w14:paraId="26462E67" w14:textId="77777777" w:rsidR="00AB7C64" w:rsidRDefault="00AB7C64">
      <w:pPr>
        <w:rPr>
          <w:rFonts w:ascii="Arial" w:eastAsia="Arial" w:hAnsi="Arial" w:cs="Arial"/>
        </w:rPr>
      </w:pPr>
    </w:p>
    <w:p w14:paraId="6D6EE960" w14:textId="77777777" w:rsidR="00AB7C64" w:rsidRDefault="00585A9D">
      <w:pPr>
        <w:rPr>
          <w:rFonts w:ascii="Arial" w:eastAsia="Arial" w:hAnsi="Arial" w:cs="Arial"/>
        </w:rPr>
      </w:pPr>
      <w:r>
        <w:rPr>
          <w:noProof/>
        </w:rPr>
        <w:lastRenderedPageBreak/>
        <w:drawing>
          <wp:inline distT="0" distB="0" distL="0" distR="0" wp14:anchorId="69240C6C" wp14:editId="26FD6D9E">
            <wp:extent cx="5229225" cy="77724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229225" cy="777240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3630CD4" wp14:editId="69F01753">
                <wp:simplePos x="0" y="0"/>
                <wp:positionH relativeFrom="margin">
                  <wp:posOffset>5346700</wp:posOffset>
                </wp:positionH>
                <wp:positionV relativeFrom="paragraph">
                  <wp:posOffset>3873500</wp:posOffset>
                </wp:positionV>
                <wp:extent cx="1003300" cy="3848100"/>
                <wp:effectExtent l="0" t="0" r="0" b="0"/>
                <wp:wrapNone/>
                <wp:docPr id="3" name="Rectangle 3"/>
                <wp:cNvGraphicFramePr/>
                <a:graphic xmlns:a="http://schemas.openxmlformats.org/drawingml/2006/main">
                  <a:graphicData uri="http://schemas.microsoft.com/office/word/2010/wordprocessingShape">
                    <wps:wsp>
                      <wps:cNvSpPr/>
                      <wps:spPr>
                        <a:xfrm>
                          <a:off x="4845937" y="1855950"/>
                          <a:ext cx="1000125" cy="3848099"/>
                        </a:xfrm>
                        <a:prstGeom prst="rect">
                          <a:avLst/>
                        </a:prstGeom>
                        <a:solidFill>
                          <a:schemeClr val="lt1"/>
                        </a:solidFill>
                        <a:ln w="9525" cap="flat" cmpd="sng">
                          <a:solidFill>
                            <a:srgbClr val="000000"/>
                          </a:solidFill>
                          <a:prstDash val="solid"/>
                          <a:round/>
                          <a:headEnd type="none" w="med" len="med"/>
                          <a:tailEnd type="none" w="med" len="med"/>
                        </a:ln>
                      </wps:spPr>
                      <wps:txbx>
                        <w:txbxContent>
                          <w:p w14:paraId="03E00C83" w14:textId="77777777" w:rsidR="00AB7C64" w:rsidRDefault="00585A9D">
                            <w:pPr>
                              <w:spacing w:line="275" w:lineRule="auto"/>
                              <w:jc w:val="center"/>
                              <w:textDirection w:val="btLr"/>
                            </w:pPr>
                            <w:r>
                              <w:rPr>
                                <w:b/>
                                <w:i/>
                                <w:sz w:val="24"/>
                              </w:rPr>
                              <w:t xml:space="preserve">A price elasticity of demand (Dpe) GREATER than 1 </w:t>
                            </w:r>
                            <w:r>
                              <w:rPr>
                                <w:b/>
                                <w:i/>
                                <w:sz w:val="24"/>
                                <w:u w:val="single"/>
                              </w:rPr>
                              <w:t>also</w:t>
                            </w:r>
                            <w:r>
                              <w:rPr>
                                <w:b/>
                                <w:i/>
                                <w:sz w:val="24"/>
                              </w:rPr>
                              <w:t xml:space="preserve"> means that, in the price range being measured, LOWERING prices will result in MANY more sales, thus INCREASING revenues</w:t>
                            </w:r>
                            <w:r>
                              <w:rPr>
                                <w:b/>
                              </w:rPr>
                              <w:t>.</w:t>
                            </w:r>
                          </w:p>
                        </w:txbxContent>
                      </wps:txbx>
                      <wps:bodyPr lIns="91425" tIns="45700" rIns="91425" bIns="45700" anchor="t" anchorCtr="0"/>
                    </wps:wsp>
                  </a:graphicData>
                </a:graphic>
              </wp:anchor>
            </w:drawing>
          </mc:Choice>
          <mc:Fallback>
            <w:pict>
              <v:rect w14:anchorId="63630CD4" id="Rectangle 3" o:spid="_x0000_s1026" style="position:absolute;margin-left:421pt;margin-top:305pt;width:79pt;height:303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" fillcolor="white [3201]">
                <v:stroke joinstyle="round"/>
                <v:textbox inset="2.53958mm,1.2694mm,2.53958mm,1.2694mm">
                  <w:txbxContent>
                    <w:p w14:paraId="03E00C83" w14:textId="77777777" w:rsidR="00AB7C64" w:rsidRDefault="00585A9D">
                      <w:pPr>
                        <w:spacing w:line="275" w:lineRule="auto"/>
                        <w:jc w:val="center"/>
                        <w:textDirection w:val="btLr"/>
                      </w:pPr>
                      <w:r>
                        <w:rPr>
                          <w:b/>
                          <w:i/>
                          <w:sz w:val="24"/>
                        </w:rPr>
                        <w:t xml:space="preserve">A price elasticity of demand (Dpe) GREATER than 1 </w:t>
                      </w:r>
                      <w:r>
                        <w:rPr>
                          <w:b/>
                          <w:i/>
                          <w:sz w:val="24"/>
                          <w:u w:val="single"/>
                        </w:rPr>
                        <w:t>also</w:t>
                      </w:r>
                      <w:r>
                        <w:rPr>
                          <w:b/>
                          <w:i/>
                          <w:sz w:val="24"/>
                        </w:rPr>
                        <w:t xml:space="preserve"> means that, in the price range being measured, LOWERING prices will result in MANY more sales, thus INCREASING revenues</w:t>
                      </w:r>
                      <w:r>
                        <w:rPr>
                          <w:b/>
                        </w:rPr>
                        <w:t>.</w:t>
                      </w:r>
                    </w:p>
                  </w:txbxContent>
                </v:textbox>
                <w10:wrap anchorx="margin"/>
              </v:rect>
            </w:pict>
          </mc:Fallback>
        </mc:AlternateContent>
      </w:r>
    </w:p>
    <w:sectPr w:rsidR="00AB7C64">
      <w:footerReference w:type="default" r:id="rId8"/>
      <w:pgSz w:w="12240" w:h="15840"/>
      <w:pgMar w:top="1440" w:right="1440" w:bottom="99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73E59" w14:textId="77777777" w:rsidR="00585A9D" w:rsidRDefault="00585A9D">
      <w:pPr>
        <w:spacing w:after="0" w:line="240" w:lineRule="auto"/>
      </w:pPr>
      <w:r>
        <w:separator/>
      </w:r>
    </w:p>
  </w:endnote>
  <w:endnote w:type="continuationSeparator" w:id="0">
    <w:p w14:paraId="0A232B5B" w14:textId="77777777" w:rsidR="00585A9D" w:rsidRDefault="0058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5E44" w14:textId="77777777" w:rsidR="00AB7C64" w:rsidRDefault="00585A9D">
    <w:pPr>
      <w:tabs>
        <w:tab w:val="center" w:pos="4680"/>
        <w:tab w:val="right" w:pos="9360"/>
      </w:tabs>
      <w:spacing w:after="720" w:line="240" w:lineRule="auto"/>
    </w:pPr>
    <w:r>
      <w:t>v.6.8.17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F2F9B" w14:textId="77777777" w:rsidR="00585A9D" w:rsidRDefault="00585A9D">
      <w:pPr>
        <w:spacing w:after="0" w:line="240" w:lineRule="auto"/>
      </w:pPr>
      <w:r>
        <w:separator/>
      </w:r>
    </w:p>
  </w:footnote>
  <w:footnote w:type="continuationSeparator" w:id="0">
    <w:p w14:paraId="54167661" w14:textId="77777777" w:rsidR="00585A9D" w:rsidRDefault="00585A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64"/>
    <w:rsid w:val="00585A9D"/>
    <w:rsid w:val="008816A8"/>
    <w:rsid w:val="00AB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B0E0"/>
  <w15:docId w15:val="{DDC0090B-A196-4DC3-ADFD-02E5BEDA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Sands</dc:creator>
  <cp:lastModifiedBy>Amanda Sands</cp:lastModifiedBy>
  <cp:revision>2</cp:revision>
  <dcterms:created xsi:type="dcterms:W3CDTF">2018-06-11T02:07:00Z</dcterms:created>
  <dcterms:modified xsi:type="dcterms:W3CDTF">2018-06-11T02:07:00Z</dcterms:modified>
</cp:coreProperties>
</file>